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b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ind w:right="360"/>
        <w:jc w:val="center"/>
        <w:rPr>
          <w:rFonts w:eastAsia="Times New Roman" w:cs="Arial"/>
          <w:b/>
          <w:sz w:val="22"/>
          <w:szCs w:val="22"/>
          <w:lang w:eastAsia="en-US"/>
        </w:rPr>
      </w:pPr>
      <w:r w:rsidRPr="00B317F4">
        <w:rPr>
          <w:rFonts w:eastAsia="Times New Roman" w:cs="Arial"/>
          <w:b/>
          <w:sz w:val="22"/>
          <w:szCs w:val="22"/>
          <w:lang w:eastAsia="en-US"/>
        </w:rPr>
        <w:t xml:space="preserve">PARTIAL LIST OF CITATIONS 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ind w:right="360"/>
        <w:jc w:val="center"/>
        <w:rPr>
          <w:rFonts w:eastAsia="Times New Roman" w:cs="Arial"/>
          <w:b/>
          <w:sz w:val="22"/>
          <w:szCs w:val="22"/>
          <w:lang w:eastAsia="en-US"/>
        </w:rPr>
      </w:pPr>
      <w:r w:rsidRPr="00B317F4">
        <w:rPr>
          <w:rFonts w:eastAsia="Times New Roman" w:cs="Arial"/>
          <w:b/>
          <w:sz w:val="22"/>
          <w:szCs w:val="22"/>
          <w:lang w:eastAsia="en-US"/>
        </w:rPr>
        <w:t>TO THE LEGAL WRITINGS OF SCOTT M. SEAMAN</w:t>
      </w:r>
    </w:p>
    <w:p w:rsid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b/>
          <w:sz w:val="22"/>
          <w:szCs w:val="22"/>
          <w:lang w:eastAsia="en-US"/>
        </w:rPr>
      </w:pPr>
    </w:p>
    <w:p w:rsid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b/>
          <w:sz w:val="22"/>
          <w:szCs w:val="22"/>
          <w:lang w:eastAsia="en-US"/>
        </w:rPr>
      </w:pPr>
      <w:bookmarkStart w:id="0" w:name="_GoBack"/>
      <w:bookmarkEnd w:id="0"/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b/>
          <w:sz w:val="22"/>
          <w:szCs w:val="22"/>
          <w:lang w:eastAsia="en-US"/>
        </w:rPr>
      </w:pPr>
      <w:r w:rsidRPr="00B317F4">
        <w:rPr>
          <w:rFonts w:eastAsia="Times New Roman" w:cs="Arial"/>
          <w:b/>
          <w:sz w:val="22"/>
          <w:szCs w:val="22"/>
          <w:lang w:eastAsia="en-US"/>
        </w:rPr>
        <w:t>State Supreme Courts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i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i/>
          <w:sz w:val="22"/>
          <w:szCs w:val="22"/>
          <w:lang w:eastAsia="en-US"/>
        </w:rPr>
        <w:t>Nucor Corp. v. Employers Ins. Co. of Wausau</w:t>
      </w:r>
      <w:r w:rsidRPr="00B317F4">
        <w:rPr>
          <w:rFonts w:eastAsia="Times New Roman" w:cs="Arial"/>
          <w:sz w:val="22"/>
          <w:szCs w:val="22"/>
          <w:lang w:eastAsia="en-US"/>
        </w:rPr>
        <w:t>, 231 Ariz. 411 (Ariz. 2012) (citing Seaman and Schulze treatise on sharing of defense costs)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i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i/>
          <w:sz w:val="22"/>
          <w:szCs w:val="22"/>
          <w:lang w:eastAsia="en-US"/>
        </w:rPr>
        <w:t>Skokie Castings, Inc. v. Illinois Ins. Guar. Fund</w:t>
      </w:r>
      <w:r w:rsidRPr="00B317F4">
        <w:rPr>
          <w:rFonts w:eastAsia="Times New Roman" w:cs="Arial"/>
          <w:sz w:val="22"/>
          <w:szCs w:val="22"/>
          <w:lang w:eastAsia="en-US"/>
        </w:rPr>
        <w:t>, 2013 IL 113873 (Ill. 2013) (citing Seaman law review article on risk retention and insurance purchase issues)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i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i/>
          <w:sz w:val="22"/>
          <w:szCs w:val="22"/>
          <w:lang w:eastAsia="en-US"/>
        </w:rPr>
        <w:t xml:space="preserve">Kajima Const. Services, Inc. v. St. Paul Fire and Marine Ins. Co., </w:t>
      </w:r>
      <w:r w:rsidRPr="00B317F4">
        <w:rPr>
          <w:rFonts w:eastAsia="Times New Roman" w:cs="Arial"/>
          <w:sz w:val="22"/>
          <w:szCs w:val="22"/>
          <w:lang w:eastAsia="en-US"/>
        </w:rPr>
        <w:t xml:space="preserve">227 </w:t>
      </w:r>
      <w:proofErr w:type="spellStart"/>
      <w:r w:rsidRPr="00B317F4">
        <w:rPr>
          <w:rFonts w:eastAsia="Times New Roman" w:cs="Arial"/>
          <w:sz w:val="22"/>
          <w:szCs w:val="22"/>
          <w:lang w:eastAsia="en-US"/>
        </w:rPr>
        <w:t>Ill.2d</w:t>
      </w:r>
      <w:proofErr w:type="spellEnd"/>
      <w:r w:rsidRPr="00B317F4">
        <w:rPr>
          <w:rFonts w:eastAsia="Times New Roman" w:cs="Arial"/>
          <w:sz w:val="22"/>
          <w:szCs w:val="22"/>
          <w:lang w:eastAsia="en-US"/>
        </w:rPr>
        <w:t xml:space="preserve"> 102 (Ill. 2007) (citing Seaman law review article on excess insurance principles)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i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i/>
          <w:sz w:val="22"/>
          <w:szCs w:val="22"/>
          <w:lang w:eastAsia="en-US"/>
        </w:rPr>
        <w:t>Roberts v. Northland Ins. Co</w:t>
      </w:r>
      <w:r w:rsidRPr="00B317F4">
        <w:rPr>
          <w:rFonts w:eastAsia="Times New Roman" w:cs="Arial"/>
          <w:sz w:val="22"/>
          <w:szCs w:val="22"/>
          <w:lang w:eastAsia="en-US"/>
        </w:rPr>
        <w:t xml:space="preserve">., 185 </w:t>
      </w:r>
      <w:proofErr w:type="spellStart"/>
      <w:r w:rsidRPr="00B317F4">
        <w:rPr>
          <w:rFonts w:eastAsia="Times New Roman" w:cs="Arial"/>
          <w:sz w:val="22"/>
          <w:szCs w:val="22"/>
          <w:lang w:eastAsia="en-US"/>
        </w:rPr>
        <w:t>Ill.2d</w:t>
      </w:r>
      <w:proofErr w:type="spellEnd"/>
      <w:r w:rsidRPr="00B317F4">
        <w:rPr>
          <w:rFonts w:eastAsia="Times New Roman" w:cs="Arial"/>
          <w:sz w:val="22"/>
          <w:szCs w:val="22"/>
          <w:lang w:eastAsia="en-US"/>
        </w:rPr>
        <w:t xml:space="preserve"> 262 (Ill. 1998) (citing Seaman law review article on the role of excess insurance)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proofErr w:type="spellStart"/>
      <w:r w:rsidRPr="00B317F4">
        <w:rPr>
          <w:rFonts w:eastAsia="Times New Roman" w:cs="Arial"/>
          <w:i/>
          <w:sz w:val="22"/>
          <w:szCs w:val="22"/>
          <w:lang w:eastAsia="en-US"/>
        </w:rPr>
        <w:t>Countryway</w:t>
      </w:r>
      <w:proofErr w:type="spellEnd"/>
      <w:r w:rsidRPr="00B317F4">
        <w:rPr>
          <w:rFonts w:eastAsia="Times New Roman" w:cs="Arial"/>
          <w:i/>
          <w:sz w:val="22"/>
          <w:szCs w:val="22"/>
          <w:lang w:eastAsia="en-US"/>
        </w:rPr>
        <w:t xml:space="preserve"> Ins. Co. v. United Financial Cas. Ins. Co.</w:t>
      </w:r>
      <w:r w:rsidRPr="00B317F4">
        <w:rPr>
          <w:rFonts w:eastAsia="Times New Roman" w:cs="Arial"/>
          <w:sz w:val="22"/>
          <w:szCs w:val="22"/>
          <w:lang w:eastAsia="en-US"/>
        </w:rPr>
        <w:t xml:space="preserve">, 496 </w:t>
      </w:r>
      <w:proofErr w:type="spellStart"/>
      <w:r w:rsidRPr="00B317F4">
        <w:rPr>
          <w:rFonts w:eastAsia="Times New Roman" w:cs="Arial"/>
          <w:sz w:val="22"/>
          <w:szCs w:val="22"/>
          <w:lang w:eastAsia="en-US"/>
        </w:rPr>
        <w:t>S.W.3d</w:t>
      </w:r>
      <w:proofErr w:type="spellEnd"/>
      <w:r w:rsidRPr="00B317F4">
        <w:rPr>
          <w:rFonts w:eastAsia="Times New Roman" w:cs="Arial"/>
          <w:sz w:val="22"/>
          <w:szCs w:val="22"/>
          <w:lang w:eastAsia="en-US"/>
        </w:rPr>
        <w:t xml:space="preserve"> 424 (Ky. 2016) (citing Seaman and Schulze treatise on other insurance clauses)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i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i/>
          <w:sz w:val="22"/>
          <w:szCs w:val="22"/>
          <w:lang w:eastAsia="en-US"/>
        </w:rPr>
        <w:t xml:space="preserve">Boston Gas Co. v. Century </w:t>
      </w:r>
      <w:proofErr w:type="spellStart"/>
      <w:r w:rsidRPr="00B317F4">
        <w:rPr>
          <w:rFonts w:eastAsia="Times New Roman" w:cs="Arial"/>
          <w:i/>
          <w:sz w:val="22"/>
          <w:szCs w:val="22"/>
          <w:lang w:eastAsia="en-US"/>
        </w:rPr>
        <w:t>Indem</w:t>
      </w:r>
      <w:proofErr w:type="spellEnd"/>
      <w:r w:rsidRPr="00B317F4">
        <w:rPr>
          <w:rFonts w:eastAsia="Times New Roman" w:cs="Arial"/>
          <w:i/>
          <w:sz w:val="22"/>
          <w:szCs w:val="22"/>
          <w:lang w:eastAsia="en-US"/>
        </w:rPr>
        <w:t>. Co.</w:t>
      </w:r>
      <w:r w:rsidRPr="00B317F4">
        <w:rPr>
          <w:rFonts w:eastAsia="Times New Roman" w:cs="Arial"/>
          <w:sz w:val="22"/>
          <w:szCs w:val="22"/>
          <w:lang w:eastAsia="en-US"/>
        </w:rPr>
        <w:t xml:space="preserve">, 454 Mass 337 (Mass. 2009) (citing Seaman and Schulze treatise 12 times in its landmark allocation decision for a variety of propositions, including:  the various available allocation formulas, the features of </w:t>
      </w:r>
      <w:r w:rsidRPr="00B317F4">
        <w:rPr>
          <w:rFonts w:eastAsia="Times New Roman" w:cs="Arial"/>
          <w:i/>
          <w:sz w:val="22"/>
          <w:szCs w:val="22"/>
          <w:lang w:eastAsia="en-US"/>
        </w:rPr>
        <w:t>pro rata</w:t>
      </w:r>
      <w:r w:rsidRPr="00B317F4">
        <w:rPr>
          <w:rFonts w:eastAsia="Times New Roman" w:cs="Arial"/>
          <w:sz w:val="22"/>
          <w:szCs w:val="22"/>
          <w:lang w:eastAsia="en-US"/>
        </w:rPr>
        <w:t xml:space="preserve"> allocation, fact-based allocation, “all sums” allocation,  impact of “unavailability ” of insurance, self-insured retentions and deductibles, and insurance contract language). 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i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i/>
          <w:sz w:val="22"/>
          <w:szCs w:val="22"/>
          <w:lang w:eastAsia="en-US"/>
        </w:rPr>
      </w:pPr>
      <w:r w:rsidRPr="00B317F4">
        <w:rPr>
          <w:rFonts w:eastAsia="Times New Roman" w:cs="Arial"/>
          <w:i/>
          <w:iCs/>
          <w:sz w:val="22"/>
          <w:szCs w:val="22"/>
          <w:lang w:eastAsia="en-US"/>
        </w:rPr>
        <w:t>Ins. Co. of the State of Pennsylvania v. Great Northern Ins. Co.</w:t>
      </w:r>
      <w:r w:rsidRPr="00B317F4">
        <w:rPr>
          <w:rFonts w:eastAsia="Times New Roman" w:cs="Arial"/>
          <w:sz w:val="22"/>
          <w:szCs w:val="22"/>
          <w:lang w:eastAsia="en-US"/>
        </w:rPr>
        <w:t xml:space="preserve">, 45 </w:t>
      </w:r>
      <w:proofErr w:type="spellStart"/>
      <w:r w:rsidRPr="00B317F4">
        <w:rPr>
          <w:rFonts w:eastAsia="Times New Roman" w:cs="Arial"/>
          <w:sz w:val="22"/>
          <w:szCs w:val="22"/>
          <w:lang w:eastAsia="en-US"/>
        </w:rPr>
        <w:t>N.E.3d</w:t>
      </w:r>
      <w:proofErr w:type="spellEnd"/>
      <w:r w:rsidRPr="00B317F4">
        <w:rPr>
          <w:rFonts w:eastAsia="Times New Roman" w:cs="Arial"/>
          <w:sz w:val="22"/>
          <w:szCs w:val="22"/>
          <w:lang w:eastAsia="en-US"/>
        </w:rPr>
        <w:t xml:space="preserve"> 1283 (Mass. Mar. 2016) (citing Seaman and Schulze treatise on principles of equitable contribution in rejecting selective tender doctrine). 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i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i/>
          <w:sz w:val="22"/>
          <w:szCs w:val="22"/>
          <w:lang w:eastAsia="en-US"/>
        </w:rPr>
        <w:t>Spaulding Composites Co., Inc. v. Aetna Cas. and Sur. Co</w:t>
      </w:r>
      <w:r w:rsidRPr="00B317F4">
        <w:rPr>
          <w:rFonts w:eastAsia="Times New Roman" w:cs="Arial"/>
          <w:sz w:val="22"/>
          <w:szCs w:val="22"/>
          <w:lang w:eastAsia="en-US"/>
        </w:rPr>
        <w:t xml:space="preserve">., 176 N.J. 25 (N.J. 2003) (citing Seaman law review article on the impact of </w:t>
      </w:r>
      <w:r w:rsidRPr="00B317F4">
        <w:rPr>
          <w:rFonts w:eastAsia="Times New Roman" w:cs="Arial"/>
          <w:i/>
          <w:sz w:val="22"/>
          <w:szCs w:val="22"/>
          <w:lang w:eastAsia="en-US"/>
        </w:rPr>
        <w:t>Owens-Illinois</w:t>
      </w:r>
      <w:r w:rsidRPr="00B317F4">
        <w:rPr>
          <w:rFonts w:eastAsia="Times New Roman" w:cs="Arial"/>
          <w:sz w:val="22"/>
          <w:szCs w:val="22"/>
          <w:lang w:eastAsia="en-US"/>
        </w:rPr>
        <w:t xml:space="preserve"> decision and on excess insurance and self-insured retentions)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i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proofErr w:type="spellStart"/>
      <w:r w:rsidRPr="00B317F4">
        <w:rPr>
          <w:rFonts w:eastAsia="Times New Roman" w:cs="Arial"/>
          <w:i/>
          <w:sz w:val="22"/>
          <w:szCs w:val="22"/>
          <w:lang w:eastAsia="en-US"/>
        </w:rPr>
        <w:t>Crossmann</w:t>
      </w:r>
      <w:proofErr w:type="spellEnd"/>
      <w:r w:rsidRPr="00B317F4">
        <w:rPr>
          <w:rFonts w:eastAsia="Times New Roman" w:cs="Arial"/>
          <w:i/>
          <w:sz w:val="22"/>
          <w:szCs w:val="22"/>
          <w:lang w:eastAsia="en-US"/>
        </w:rPr>
        <w:t xml:space="preserve"> Communities of North Carolina, Inc. v. Harleysville</w:t>
      </w:r>
      <w:r w:rsidRPr="00B317F4">
        <w:rPr>
          <w:rFonts w:eastAsia="Times New Roman" w:cs="Arial"/>
          <w:sz w:val="22"/>
          <w:szCs w:val="22"/>
          <w:lang w:eastAsia="en-US"/>
        </w:rPr>
        <w:t>, 395 S.C. 40 (S.C. 2011) (citing Seaman and Schulze treatise on allocating to the policyholder for periods of no insurance, insufficient insurance, and self-insurance)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i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i/>
          <w:sz w:val="22"/>
          <w:szCs w:val="22"/>
          <w:lang w:eastAsia="en-US"/>
        </w:rPr>
        <w:t xml:space="preserve">Beaufort County School Dist. v. United Nat. Ins. Co., </w:t>
      </w:r>
      <w:r w:rsidRPr="00B317F4">
        <w:rPr>
          <w:rFonts w:eastAsia="Times New Roman" w:cs="Arial"/>
          <w:sz w:val="22"/>
          <w:szCs w:val="22"/>
          <w:lang w:eastAsia="en-US"/>
        </w:rPr>
        <w:t>392 S.C. 506 (S.C. 2011) (citing Seaman and Schulze treatise on “</w:t>
      </w:r>
      <w:proofErr w:type="spellStart"/>
      <w:r w:rsidRPr="00B317F4">
        <w:rPr>
          <w:rFonts w:eastAsia="Times New Roman" w:cs="Arial"/>
          <w:sz w:val="22"/>
          <w:szCs w:val="22"/>
          <w:lang w:eastAsia="en-US"/>
        </w:rPr>
        <w:t>deemer</w:t>
      </w:r>
      <w:proofErr w:type="spellEnd"/>
      <w:r w:rsidRPr="00B317F4">
        <w:rPr>
          <w:rFonts w:eastAsia="Times New Roman" w:cs="Arial"/>
          <w:sz w:val="22"/>
          <w:szCs w:val="22"/>
          <w:lang w:eastAsia="en-US"/>
        </w:rPr>
        <w:t>” clauses)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proofErr w:type="spellStart"/>
      <w:r w:rsidRPr="00B317F4">
        <w:rPr>
          <w:rFonts w:eastAsia="Times New Roman" w:cs="Arial"/>
          <w:i/>
          <w:sz w:val="22"/>
          <w:szCs w:val="22"/>
          <w:lang w:eastAsia="en-US"/>
        </w:rPr>
        <w:t>Burgraff</w:t>
      </w:r>
      <w:proofErr w:type="spellEnd"/>
      <w:r w:rsidRPr="00B317F4">
        <w:rPr>
          <w:rFonts w:eastAsia="Times New Roman" w:cs="Arial"/>
          <w:i/>
          <w:sz w:val="22"/>
          <w:szCs w:val="22"/>
          <w:lang w:eastAsia="en-US"/>
        </w:rPr>
        <w:t xml:space="preserve"> v. Menard, Inc.,</w:t>
      </w:r>
      <w:r w:rsidRPr="00B317F4">
        <w:rPr>
          <w:rFonts w:eastAsia="Times New Roman" w:cs="Arial"/>
          <w:sz w:val="22"/>
          <w:szCs w:val="22"/>
          <w:lang w:eastAsia="en-US"/>
        </w:rPr>
        <w:t xml:space="preserve"> 2016 WL 11 (Wisc. 2016) (concurring opinion citing Seaman and Schulze treatise on equitable allocation)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i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i/>
          <w:sz w:val="22"/>
          <w:szCs w:val="22"/>
          <w:lang w:eastAsia="en-US"/>
        </w:rPr>
        <w:t>State ex rel. Owners Ins. Co. v. McGraw</w:t>
      </w:r>
      <w:r w:rsidRPr="00B317F4">
        <w:rPr>
          <w:rFonts w:eastAsia="Times New Roman" w:cs="Arial"/>
          <w:sz w:val="22"/>
          <w:szCs w:val="22"/>
          <w:lang w:eastAsia="en-US"/>
        </w:rPr>
        <w:t>, 233 W. Va. 776 (W. Va. 2014) (citing Seaman and Schulze treatise on contribution rights)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b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b/>
          <w:sz w:val="22"/>
          <w:szCs w:val="22"/>
          <w:lang w:eastAsia="en-US"/>
        </w:rPr>
      </w:pPr>
      <w:r w:rsidRPr="00B317F4">
        <w:rPr>
          <w:rFonts w:eastAsia="Times New Roman" w:cs="Arial"/>
          <w:b/>
          <w:sz w:val="22"/>
          <w:szCs w:val="22"/>
          <w:lang w:eastAsia="en-US"/>
        </w:rPr>
        <w:lastRenderedPageBreak/>
        <w:t>State Intermediate Appellate Courts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i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proofErr w:type="spellStart"/>
      <w:r w:rsidRPr="00B317F4">
        <w:rPr>
          <w:rFonts w:eastAsia="Times New Roman" w:cs="Arial"/>
          <w:i/>
          <w:sz w:val="22"/>
          <w:szCs w:val="22"/>
          <w:lang w:eastAsia="en-US"/>
        </w:rPr>
        <w:t>Haering</w:t>
      </w:r>
      <w:proofErr w:type="spellEnd"/>
      <w:r w:rsidRPr="00B317F4">
        <w:rPr>
          <w:rFonts w:eastAsia="Times New Roman" w:cs="Arial"/>
          <w:i/>
          <w:sz w:val="22"/>
          <w:szCs w:val="22"/>
          <w:lang w:eastAsia="en-US"/>
        </w:rPr>
        <w:t xml:space="preserve"> v. </w:t>
      </w:r>
      <w:proofErr w:type="spellStart"/>
      <w:r w:rsidRPr="00B317F4">
        <w:rPr>
          <w:rFonts w:eastAsia="Times New Roman" w:cs="Arial"/>
          <w:i/>
          <w:sz w:val="22"/>
          <w:szCs w:val="22"/>
          <w:lang w:eastAsia="en-US"/>
        </w:rPr>
        <w:t>Topa</w:t>
      </w:r>
      <w:proofErr w:type="spellEnd"/>
      <w:r w:rsidRPr="00B317F4">
        <w:rPr>
          <w:rFonts w:eastAsia="Times New Roman" w:cs="Arial"/>
          <w:i/>
          <w:sz w:val="22"/>
          <w:szCs w:val="22"/>
          <w:lang w:eastAsia="en-US"/>
        </w:rPr>
        <w:t xml:space="preserve"> Insurance Co</w:t>
      </w:r>
      <w:r w:rsidRPr="00B317F4">
        <w:rPr>
          <w:rFonts w:eastAsia="Times New Roman" w:cs="Arial"/>
          <w:sz w:val="22"/>
          <w:szCs w:val="22"/>
          <w:lang w:eastAsia="en-US"/>
        </w:rPr>
        <w:t>., 244 Cal. App. 4th 725 (Cal. App. 2015) (citing Seaman law review article on excess insurance)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i/>
          <w:sz w:val="22"/>
          <w:szCs w:val="22"/>
          <w:lang w:eastAsia="en-US"/>
        </w:rPr>
        <w:t>A.R. Thane Ritchie v. Arch Specialty Ins. Co</w:t>
      </w:r>
      <w:r w:rsidRPr="00B317F4">
        <w:rPr>
          <w:rFonts w:eastAsia="Times New Roman" w:cs="Arial"/>
          <w:sz w:val="22"/>
          <w:szCs w:val="22"/>
          <w:lang w:eastAsia="en-US"/>
        </w:rPr>
        <w:t>., 2017 IL App (1st) 160413-U (Ill. App. March 2017) (citing Seaman law review article on exhaustion)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i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i/>
          <w:sz w:val="22"/>
          <w:szCs w:val="22"/>
          <w:lang w:eastAsia="en-US"/>
        </w:rPr>
        <w:t>Certain Underwriters at Lloyd’s, London v. Central Mut. Ins. Co</w:t>
      </w:r>
      <w:r w:rsidRPr="00B317F4">
        <w:rPr>
          <w:rFonts w:eastAsia="Times New Roman" w:cs="Arial"/>
          <w:sz w:val="22"/>
          <w:szCs w:val="22"/>
          <w:lang w:eastAsia="en-US"/>
        </w:rPr>
        <w:t>., 2014 IL App (1st) 133145 (Ill. App. May 2014) (citing Seaman law review article on primary and excess insurance)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i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i/>
          <w:sz w:val="22"/>
          <w:szCs w:val="22"/>
          <w:lang w:eastAsia="en-US"/>
        </w:rPr>
        <w:t>Thomson Inc. v. Insurance Co. of North America</w:t>
      </w:r>
      <w:r w:rsidRPr="00B317F4">
        <w:rPr>
          <w:rFonts w:eastAsia="Times New Roman" w:cs="Arial"/>
          <w:sz w:val="22"/>
          <w:szCs w:val="22"/>
          <w:lang w:eastAsia="en-US"/>
        </w:rPr>
        <w:t xml:space="preserve">, 11 </w:t>
      </w:r>
      <w:proofErr w:type="spellStart"/>
      <w:r w:rsidRPr="00B317F4">
        <w:rPr>
          <w:rFonts w:eastAsia="Times New Roman" w:cs="Arial"/>
          <w:sz w:val="22"/>
          <w:szCs w:val="22"/>
          <w:lang w:eastAsia="en-US"/>
        </w:rPr>
        <w:t>N.E.3d</w:t>
      </w:r>
      <w:proofErr w:type="spellEnd"/>
      <w:r w:rsidRPr="00B317F4">
        <w:rPr>
          <w:rFonts w:eastAsia="Times New Roman" w:cs="Arial"/>
          <w:sz w:val="22"/>
          <w:szCs w:val="22"/>
          <w:lang w:eastAsia="en-US"/>
        </w:rPr>
        <w:t xml:space="preserve"> 982 (Ind. App. 2014) (citing Seaman and Schulze treatise on allocation)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i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i/>
          <w:sz w:val="22"/>
          <w:szCs w:val="22"/>
          <w:lang w:eastAsia="en-US"/>
        </w:rPr>
        <w:t>Mayor and City Council of Baltimore v. Utica Mut. Ins. Co</w:t>
      </w:r>
      <w:r w:rsidRPr="00B317F4">
        <w:rPr>
          <w:rFonts w:eastAsia="Times New Roman" w:cs="Arial"/>
          <w:sz w:val="22"/>
          <w:szCs w:val="22"/>
          <w:lang w:eastAsia="en-US"/>
        </w:rPr>
        <w:t>., 145 Md. App. 256 (Md. App. 2002) (citing Seaman law review article on excess insurance and catastrophic loss)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i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i/>
          <w:sz w:val="22"/>
          <w:szCs w:val="22"/>
          <w:lang w:eastAsia="en-US"/>
        </w:rPr>
        <w:t>New England Insulation Co., Inc. v. Liberty Mut. Ins. Co</w:t>
      </w:r>
      <w:r w:rsidRPr="00B317F4">
        <w:rPr>
          <w:rFonts w:eastAsia="Times New Roman" w:cs="Arial"/>
          <w:sz w:val="22"/>
          <w:szCs w:val="22"/>
          <w:lang w:eastAsia="en-US"/>
        </w:rPr>
        <w:t>., 74 Mass. App. 1102 (Mass. App. 2009) (citing Seaman and Schulze treatise on “other insurance” clauses)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proofErr w:type="spellStart"/>
      <w:r w:rsidRPr="00B317F4">
        <w:rPr>
          <w:rFonts w:eastAsia="Times New Roman" w:cs="Arial"/>
          <w:i/>
          <w:sz w:val="22"/>
          <w:szCs w:val="22"/>
          <w:lang w:eastAsia="en-US"/>
        </w:rPr>
        <w:t>Nooter</w:t>
      </w:r>
      <w:proofErr w:type="spellEnd"/>
      <w:r w:rsidRPr="00B317F4">
        <w:rPr>
          <w:rFonts w:eastAsia="Times New Roman" w:cs="Arial"/>
          <w:i/>
          <w:sz w:val="22"/>
          <w:szCs w:val="22"/>
          <w:lang w:eastAsia="en-US"/>
        </w:rPr>
        <w:t xml:space="preserve"> Corp. v. Allianz Underwriters Ins. Co</w:t>
      </w:r>
      <w:r w:rsidRPr="00B317F4">
        <w:rPr>
          <w:rFonts w:eastAsia="Times New Roman" w:cs="Arial"/>
          <w:sz w:val="22"/>
          <w:szCs w:val="22"/>
          <w:lang w:eastAsia="en-US"/>
        </w:rPr>
        <w:t>., 2017 WL 4365168 (Mo. Ct. App. 2017) (citing Seaman &amp; Schulze treatise on long tail claims and allocation)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i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proofErr w:type="spellStart"/>
      <w:r w:rsidRPr="00B317F4">
        <w:rPr>
          <w:rFonts w:eastAsia="Times New Roman" w:cs="Arial"/>
          <w:i/>
          <w:sz w:val="22"/>
          <w:szCs w:val="22"/>
          <w:lang w:eastAsia="en-US"/>
        </w:rPr>
        <w:t>Kephard</w:t>
      </w:r>
      <w:proofErr w:type="spellEnd"/>
      <w:r w:rsidRPr="00B317F4">
        <w:rPr>
          <w:rFonts w:eastAsia="Times New Roman" w:cs="Arial"/>
          <w:i/>
          <w:sz w:val="22"/>
          <w:szCs w:val="22"/>
          <w:lang w:eastAsia="en-US"/>
        </w:rPr>
        <w:t xml:space="preserve"> v. </w:t>
      </w:r>
      <w:proofErr w:type="spellStart"/>
      <w:r w:rsidRPr="00B317F4">
        <w:rPr>
          <w:rFonts w:eastAsia="Times New Roman" w:cs="Arial"/>
          <w:i/>
          <w:sz w:val="22"/>
          <w:szCs w:val="22"/>
          <w:lang w:eastAsia="en-US"/>
        </w:rPr>
        <w:t>Pendergraph</w:t>
      </w:r>
      <w:proofErr w:type="spellEnd"/>
      <w:r w:rsidRPr="00B317F4">
        <w:rPr>
          <w:rFonts w:eastAsia="Times New Roman" w:cs="Arial"/>
          <w:sz w:val="22"/>
          <w:szCs w:val="22"/>
          <w:lang w:eastAsia="en-US"/>
        </w:rPr>
        <w:t>, 131 N.C. App. 559 (N.C. App. 1998) (citing Seaman law review article on excess insurance and right to associate in the defense)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i/>
          <w:sz w:val="22"/>
          <w:szCs w:val="22"/>
          <w:lang w:eastAsia="en-US"/>
        </w:rPr>
        <w:t xml:space="preserve">Westchester Fire Ins. Co. v. </w:t>
      </w:r>
      <w:proofErr w:type="spellStart"/>
      <w:r w:rsidRPr="00B317F4">
        <w:rPr>
          <w:rFonts w:eastAsia="Times New Roman" w:cs="Arial"/>
          <w:i/>
          <w:sz w:val="22"/>
          <w:szCs w:val="22"/>
          <w:lang w:eastAsia="en-US"/>
        </w:rPr>
        <w:t>Schorsch</w:t>
      </w:r>
      <w:proofErr w:type="spellEnd"/>
      <w:r w:rsidRPr="00B317F4">
        <w:rPr>
          <w:rFonts w:eastAsia="Times New Roman" w:cs="Arial"/>
          <w:sz w:val="22"/>
          <w:szCs w:val="22"/>
          <w:lang w:eastAsia="en-US"/>
        </w:rPr>
        <w:t>, 2020 N.Y. App. Div. LEXIS 2979 (N.Y. App. 2020) (citing Seaman law review article on following form)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b/>
          <w:sz w:val="22"/>
          <w:szCs w:val="22"/>
          <w:lang w:eastAsia="en-US"/>
        </w:rPr>
      </w:pPr>
      <w:r w:rsidRPr="00B317F4">
        <w:rPr>
          <w:rFonts w:eastAsia="Times New Roman" w:cs="Arial"/>
          <w:b/>
          <w:sz w:val="22"/>
          <w:szCs w:val="22"/>
          <w:lang w:eastAsia="en-US"/>
        </w:rPr>
        <w:t xml:space="preserve">State Trial Courts 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i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i/>
          <w:sz w:val="22"/>
          <w:szCs w:val="22"/>
          <w:lang w:eastAsia="en-US"/>
        </w:rPr>
        <w:t xml:space="preserve">Alterra Excess &amp; Surplus Ins. Co. v. </w:t>
      </w:r>
      <w:proofErr w:type="spellStart"/>
      <w:r w:rsidRPr="00B317F4">
        <w:rPr>
          <w:rFonts w:eastAsia="Times New Roman" w:cs="Arial"/>
          <w:i/>
          <w:sz w:val="22"/>
          <w:szCs w:val="22"/>
          <w:lang w:eastAsia="en-US"/>
        </w:rPr>
        <w:t>Tanadgusix</w:t>
      </w:r>
      <w:proofErr w:type="spellEnd"/>
      <w:r w:rsidRPr="00B317F4">
        <w:rPr>
          <w:rFonts w:eastAsia="Times New Roman" w:cs="Arial"/>
          <w:i/>
          <w:sz w:val="22"/>
          <w:szCs w:val="22"/>
          <w:lang w:eastAsia="en-US"/>
        </w:rPr>
        <w:t xml:space="preserve"> Corp., </w:t>
      </w:r>
      <w:r w:rsidRPr="00B317F4">
        <w:rPr>
          <w:rFonts w:eastAsia="Times New Roman" w:cs="Arial"/>
          <w:sz w:val="22"/>
          <w:szCs w:val="22"/>
          <w:lang w:eastAsia="en-US"/>
        </w:rPr>
        <w:t>2015 WL 9898978 (Alaska Super Ct. Feb. 2015) (citing Seaman and Schulze treatise on selective tender)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i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i/>
          <w:sz w:val="22"/>
          <w:szCs w:val="22"/>
          <w:lang w:eastAsia="en-US"/>
        </w:rPr>
        <w:t>Viking Pump, Inc. v. Century Indemnity Co</w:t>
      </w:r>
      <w:r w:rsidRPr="00B317F4">
        <w:rPr>
          <w:rFonts w:eastAsia="Times New Roman" w:cs="Arial"/>
          <w:sz w:val="22"/>
          <w:szCs w:val="22"/>
          <w:lang w:eastAsia="en-US"/>
        </w:rPr>
        <w:t>., 2014 WL 1305003 (Del. Supr. Ct. Feb. 2014) (citing Seaman and Schulze treatise on horizontal exhaustion)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i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i/>
          <w:sz w:val="22"/>
          <w:szCs w:val="22"/>
          <w:lang w:eastAsia="en-US"/>
        </w:rPr>
        <w:t>Union National Ins. Co. v. Providence Washington Ins. Co.</w:t>
      </w:r>
      <w:r w:rsidRPr="00B317F4">
        <w:rPr>
          <w:rFonts w:eastAsia="Times New Roman" w:cs="Arial"/>
          <w:sz w:val="22"/>
          <w:szCs w:val="22"/>
          <w:lang w:eastAsia="en-US"/>
        </w:rPr>
        <w:t xml:space="preserve">, 23 Mass. L. </w:t>
      </w:r>
      <w:proofErr w:type="spellStart"/>
      <w:r w:rsidRPr="00B317F4">
        <w:rPr>
          <w:rFonts w:eastAsia="Times New Roman" w:cs="Arial"/>
          <w:sz w:val="22"/>
          <w:szCs w:val="22"/>
          <w:lang w:eastAsia="en-US"/>
        </w:rPr>
        <w:t>Rptr</w:t>
      </w:r>
      <w:proofErr w:type="spellEnd"/>
      <w:r w:rsidRPr="00B317F4">
        <w:rPr>
          <w:rFonts w:eastAsia="Times New Roman" w:cs="Arial"/>
          <w:sz w:val="22"/>
          <w:szCs w:val="22"/>
          <w:lang w:eastAsia="en-US"/>
        </w:rPr>
        <w:t>. 236 (Mass. Super. Ct. June 2008) (citing Seaman law review article on damages in an equitable subrogation action)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b/>
          <w:sz w:val="22"/>
          <w:szCs w:val="22"/>
          <w:lang w:eastAsia="en-US"/>
        </w:rPr>
      </w:pPr>
      <w:r w:rsidRPr="00B317F4">
        <w:rPr>
          <w:rFonts w:eastAsia="Times New Roman" w:cs="Arial"/>
          <w:b/>
          <w:sz w:val="22"/>
          <w:szCs w:val="22"/>
          <w:lang w:eastAsia="en-US"/>
        </w:rPr>
        <w:t>Federal Circuit Courts Of Appeal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i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i/>
          <w:sz w:val="22"/>
          <w:szCs w:val="22"/>
          <w:lang w:eastAsia="en-US"/>
        </w:rPr>
        <w:t>Plastics Engineering Co. v. Liberty Mut. Ins. Co</w:t>
      </w:r>
      <w:r w:rsidRPr="00B317F4">
        <w:rPr>
          <w:rFonts w:eastAsia="Times New Roman" w:cs="Arial"/>
          <w:sz w:val="22"/>
          <w:szCs w:val="22"/>
          <w:lang w:eastAsia="en-US"/>
        </w:rPr>
        <w:t xml:space="preserve">., 514 </w:t>
      </w:r>
      <w:proofErr w:type="spellStart"/>
      <w:r w:rsidRPr="00B317F4">
        <w:rPr>
          <w:rFonts w:eastAsia="Times New Roman" w:cs="Arial"/>
          <w:sz w:val="22"/>
          <w:szCs w:val="22"/>
          <w:lang w:eastAsia="en-US"/>
        </w:rPr>
        <w:t>F.3d</w:t>
      </w:r>
      <w:proofErr w:type="spellEnd"/>
      <w:r w:rsidRPr="00B317F4">
        <w:rPr>
          <w:rFonts w:eastAsia="Times New Roman" w:cs="Arial"/>
          <w:sz w:val="22"/>
          <w:szCs w:val="22"/>
          <w:lang w:eastAsia="en-US"/>
        </w:rPr>
        <w:t xml:space="preserve"> 651 (7th Cir. 2008) (citing Seaman law review article on “non-cumulation” provisions)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proofErr w:type="spellStart"/>
      <w:r w:rsidRPr="00B317F4">
        <w:rPr>
          <w:rFonts w:eastAsia="Times New Roman" w:cs="Arial"/>
          <w:i/>
          <w:sz w:val="22"/>
          <w:szCs w:val="22"/>
          <w:lang w:eastAsia="en-US"/>
        </w:rPr>
        <w:t>Salvati</w:t>
      </w:r>
      <w:proofErr w:type="spellEnd"/>
      <w:r w:rsidRPr="00B317F4">
        <w:rPr>
          <w:rFonts w:eastAsia="Times New Roman" w:cs="Arial"/>
          <w:i/>
          <w:sz w:val="22"/>
          <w:szCs w:val="22"/>
          <w:lang w:eastAsia="en-US"/>
        </w:rPr>
        <w:t xml:space="preserve"> v. Am. Ins. Co</w:t>
      </w:r>
      <w:r w:rsidRPr="00B317F4">
        <w:rPr>
          <w:rFonts w:eastAsia="Times New Roman" w:cs="Arial"/>
          <w:sz w:val="22"/>
          <w:szCs w:val="22"/>
          <w:lang w:eastAsia="en-US"/>
        </w:rPr>
        <w:t xml:space="preserve">., 855 </w:t>
      </w:r>
      <w:proofErr w:type="spellStart"/>
      <w:r w:rsidRPr="00B317F4">
        <w:rPr>
          <w:rFonts w:eastAsia="Times New Roman" w:cs="Arial"/>
          <w:sz w:val="22"/>
          <w:szCs w:val="22"/>
          <w:lang w:eastAsia="en-US"/>
        </w:rPr>
        <w:t>F.3d</w:t>
      </w:r>
      <w:proofErr w:type="spellEnd"/>
      <w:r w:rsidRPr="00B317F4">
        <w:rPr>
          <w:rFonts w:eastAsia="Times New Roman" w:cs="Arial"/>
          <w:sz w:val="22"/>
          <w:szCs w:val="22"/>
          <w:lang w:eastAsia="en-US"/>
        </w:rPr>
        <w:t xml:space="preserve"> 40 (1st Cir. 2017) (citing Seaman law review article on excess insurance)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i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i/>
          <w:sz w:val="22"/>
          <w:szCs w:val="22"/>
          <w:lang w:eastAsia="en-US"/>
        </w:rPr>
        <w:lastRenderedPageBreak/>
        <w:t xml:space="preserve">Lexington Ins. Co. v. </w:t>
      </w:r>
      <w:proofErr w:type="spellStart"/>
      <w:r w:rsidRPr="00B317F4">
        <w:rPr>
          <w:rFonts w:eastAsia="Times New Roman" w:cs="Arial"/>
          <w:i/>
          <w:sz w:val="22"/>
          <w:szCs w:val="22"/>
          <w:lang w:eastAsia="en-US"/>
        </w:rPr>
        <w:t>RLI</w:t>
      </w:r>
      <w:proofErr w:type="spellEnd"/>
      <w:r w:rsidRPr="00B317F4">
        <w:rPr>
          <w:rFonts w:eastAsia="Times New Roman" w:cs="Arial"/>
          <w:i/>
          <w:sz w:val="22"/>
          <w:szCs w:val="22"/>
          <w:lang w:eastAsia="en-US"/>
        </w:rPr>
        <w:t xml:space="preserve"> Ins. Co.,</w:t>
      </w:r>
      <w:r w:rsidRPr="00B317F4">
        <w:rPr>
          <w:rFonts w:eastAsia="Times New Roman" w:cs="Arial"/>
          <w:sz w:val="22"/>
          <w:szCs w:val="22"/>
          <w:lang w:eastAsia="en-US"/>
        </w:rPr>
        <w:t xml:space="preserve"> 949 </w:t>
      </w:r>
      <w:proofErr w:type="spellStart"/>
      <w:r w:rsidRPr="00B317F4">
        <w:rPr>
          <w:rFonts w:eastAsia="Times New Roman" w:cs="Arial"/>
          <w:sz w:val="22"/>
          <w:szCs w:val="22"/>
          <w:lang w:eastAsia="en-US"/>
        </w:rPr>
        <w:t>F.3d</w:t>
      </w:r>
      <w:proofErr w:type="spellEnd"/>
      <w:r w:rsidRPr="00B317F4">
        <w:rPr>
          <w:rFonts w:eastAsia="Times New Roman" w:cs="Arial"/>
          <w:sz w:val="22"/>
          <w:szCs w:val="22"/>
          <w:lang w:eastAsia="en-US"/>
        </w:rPr>
        <w:t xml:space="preserve"> 1015 (citing Seaman law review article on excess insurance)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b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b/>
          <w:sz w:val="22"/>
          <w:szCs w:val="22"/>
          <w:lang w:eastAsia="en-US"/>
        </w:rPr>
      </w:pPr>
      <w:r w:rsidRPr="00B317F4">
        <w:rPr>
          <w:rFonts w:eastAsia="Times New Roman" w:cs="Arial"/>
          <w:b/>
          <w:sz w:val="22"/>
          <w:szCs w:val="22"/>
          <w:lang w:eastAsia="en-US"/>
        </w:rPr>
        <w:t>Federal District Courts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i/>
          <w:sz w:val="22"/>
          <w:szCs w:val="22"/>
          <w:lang w:eastAsia="en-US"/>
        </w:rPr>
        <w:t>First Mercury Ins. Co. v. Shawmut Woodworking &amp; Supply, Inc</w:t>
      </w:r>
      <w:r w:rsidRPr="00B317F4">
        <w:rPr>
          <w:rFonts w:eastAsia="Times New Roman" w:cs="Arial"/>
          <w:sz w:val="22"/>
          <w:szCs w:val="22"/>
          <w:lang w:eastAsia="en-US"/>
        </w:rPr>
        <w:t>., 2014 WL 4726245 (D. Conn. Sept. 2014) (citing Seaman and Schulze treatise for meaning of effect of additional insured endorsement)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i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i/>
          <w:sz w:val="22"/>
          <w:szCs w:val="22"/>
          <w:lang w:eastAsia="en-US"/>
        </w:rPr>
        <w:t>Beloit Liquidating Trust v. Century Indemnity Co</w:t>
      </w:r>
      <w:r w:rsidRPr="00B317F4">
        <w:rPr>
          <w:rFonts w:eastAsia="Times New Roman" w:cs="Arial"/>
          <w:sz w:val="22"/>
          <w:szCs w:val="22"/>
          <w:u w:val="single"/>
          <w:lang w:eastAsia="en-US"/>
        </w:rPr>
        <w:t>.</w:t>
      </w:r>
      <w:r w:rsidRPr="00B317F4">
        <w:rPr>
          <w:rFonts w:eastAsia="Times New Roman" w:cs="Arial"/>
          <w:sz w:val="22"/>
          <w:szCs w:val="22"/>
          <w:lang w:eastAsia="en-US"/>
        </w:rPr>
        <w:t>,</w:t>
      </w:r>
      <w:r w:rsidRPr="00B317F4">
        <w:rPr>
          <w:rFonts w:eastAsia="Times New Roman" w:cs="Arial"/>
          <w:color w:val="252525"/>
          <w:sz w:val="22"/>
          <w:szCs w:val="22"/>
          <w:lang w:eastAsia="en-US"/>
        </w:rPr>
        <w:t xml:space="preserve"> 2002 WL 31870525</w:t>
      </w:r>
      <w:r w:rsidRPr="00B317F4">
        <w:rPr>
          <w:rFonts w:eastAsia="Times New Roman" w:cs="Arial"/>
          <w:sz w:val="22"/>
          <w:szCs w:val="22"/>
          <w:lang w:eastAsia="en-US"/>
        </w:rPr>
        <w:t xml:space="preserve"> (N.D. Ill. Dec. 20, 2002) (citing Seaman law review article on self-insured retentions)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i/>
          <w:sz w:val="22"/>
          <w:szCs w:val="22"/>
          <w:lang w:eastAsia="en-US"/>
        </w:rPr>
        <w:t>National Union Ins. Co. v. Dowd &amp; Dowd, P.C</w:t>
      </w:r>
      <w:r w:rsidRPr="00B317F4">
        <w:rPr>
          <w:rFonts w:eastAsia="Times New Roman" w:cs="Arial"/>
          <w:sz w:val="22"/>
          <w:szCs w:val="22"/>
          <w:lang w:eastAsia="en-US"/>
        </w:rPr>
        <w:t xml:space="preserve">., 2 </w:t>
      </w:r>
      <w:proofErr w:type="spellStart"/>
      <w:r w:rsidRPr="00B317F4">
        <w:rPr>
          <w:rFonts w:eastAsia="Times New Roman" w:cs="Arial"/>
          <w:sz w:val="22"/>
          <w:szCs w:val="22"/>
          <w:lang w:eastAsia="en-US"/>
        </w:rPr>
        <w:t>F.Supp.2d</w:t>
      </w:r>
      <w:proofErr w:type="spellEnd"/>
      <w:r w:rsidRPr="00B317F4">
        <w:rPr>
          <w:rFonts w:eastAsia="Times New Roman" w:cs="Arial"/>
          <w:sz w:val="22"/>
          <w:szCs w:val="22"/>
          <w:lang w:eastAsia="en-US"/>
        </w:rPr>
        <w:t xml:space="preserve"> 1013 (N.D. Ill. 1998) (citing Seaman law review article on self-insurance) 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i/>
          <w:sz w:val="22"/>
          <w:szCs w:val="22"/>
          <w:lang w:eastAsia="en-US"/>
        </w:rPr>
        <w:t>Me. Woods Pellet Co. LLC v. Western World Ins. Co</w:t>
      </w:r>
      <w:r w:rsidRPr="00B317F4">
        <w:rPr>
          <w:rFonts w:eastAsia="Times New Roman" w:cs="Arial"/>
          <w:sz w:val="22"/>
          <w:szCs w:val="22"/>
          <w:lang w:eastAsia="en-US"/>
        </w:rPr>
        <w:t xml:space="preserve">., 401 F. Supp. </w:t>
      </w:r>
      <w:proofErr w:type="spellStart"/>
      <w:r w:rsidRPr="00B317F4">
        <w:rPr>
          <w:rFonts w:eastAsia="Times New Roman" w:cs="Arial"/>
          <w:sz w:val="22"/>
          <w:szCs w:val="22"/>
          <w:lang w:eastAsia="en-US"/>
        </w:rPr>
        <w:t>3d</w:t>
      </w:r>
      <w:proofErr w:type="spellEnd"/>
      <w:r w:rsidRPr="00B317F4">
        <w:rPr>
          <w:rFonts w:eastAsia="Times New Roman" w:cs="Arial"/>
          <w:sz w:val="22"/>
          <w:szCs w:val="22"/>
          <w:lang w:eastAsia="en-US"/>
        </w:rPr>
        <w:t xml:space="preserve"> 194 (D. Maine 2019) (citing Seaman treatise on deductibles)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i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i/>
          <w:sz w:val="22"/>
          <w:szCs w:val="22"/>
          <w:lang w:eastAsia="en-US"/>
        </w:rPr>
        <w:t>Peabody Essex Museum, Inc. v. U.S. Fire Ins. Co</w:t>
      </w:r>
      <w:r w:rsidRPr="00B317F4">
        <w:rPr>
          <w:rFonts w:eastAsia="Times New Roman" w:cs="Arial"/>
          <w:sz w:val="22"/>
          <w:szCs w:val="22"/>
          <w:lang w:eastAsia="en-US"/>
        </w:rPr>
        <w:t>., 2010 WL 3895172 (D. Mass. 2010) (citing Seaman and Schulze treatise on allocation)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i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i/>
          <w:sz w:val="22"/>
          <w:szCs w:val="22"/>
          <w:lang w:eastAsia="en-US"/>
        </w:rPr>
        <w:t>Aquino v. Pacesetter Adjustment Co</w:t>
      </w:r>
      <w:r w:rsidRPr="00B317F4">
        <w:rPr>
          <w:rFonts w:eastAsia="Times New Roman" w:cs="Arial"/>
          <w:sz w:val="22"/>
          <w:szCs w:val="22"/>
          <w:lang w:eastAsia="en-US"/>
        </w:rPr>
        <w:t xml:space="preserve">., 416 </w:t>
      </w:r>
      <w:proofErr w:type="spellStart"/>
      <w:r w:rsidRPr="00B317F4">
        <w:rPr>
          <w:rFonts w:eastAsia="Times New Roman" w:cs="Arial"/>
          <w:sz w:val="22"/>
          <w:szCs w:val="22"/>
          <w:lang w:eastAsia="en-US"/>
        </w:rPr>
        <w:t>F.Supp.2d</w:t>
      </w:r>
      <w:proofErr w:type="spellEnd"/>
      <w:r w:rsidRPr="00B317F4">
        <w:rPr>
          <w:rFonts w:eastAsia="Times New Roman" w:cs="Arial"/>
          <w:sz w:val="22"/>
          <w:szCs w:val="22"/>
          <w:lang w:eastAsia="en-US"/>
        </w:rPr>
        <w:t xml:space="preserve"> 181 (D. Mass. 2005) (citing Seaman law review article on notice of occurrence)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i/>
          <w:sz w:val="22"/>
          <w:szCs w:val="22"/>
          <w:lang w:eastAsia="en-US"/>
        </w:rPr>
        <w:t xml:space="preserve">Reinke Manufacturing Co. v. </w:t>
      </w:r>
      <w:proofErr w:type="spellStart"/>
      <w:r w:rsidRPr="00B317F4">
        <w:rPr>
          <w:rFonts w:eastAsia="Times New Roman" w:cs="Arial"/>
          <w:i/>
          <w:sz w:val="22"/>
          <w:szCs w:val="22"/>
          <w:lang w:eastAsia="en-US"/>
        </w:rPr>
        <w:t>Elecsys</w:t>
      </w:r>
      <w:proofErr w:type="spellEnd"/>
      <w:r w:rsidRPr="00B317F4">
        <w:rPr>
          <w:rFonts w:eastAsia="Times New Roman" w:cs="Arial"/>
          <w:i/>
          <w:sz w:val="22"/>
          <w:szCs w:val="22"/>
          <w:lang w:eastAsia="en-US"/>
        </w:rPr>
        <w:t xml:space="preserve"> Corp</w:t>
      </w:r>
      <w:r w:rsidRPr="00B317F4">
        <w:rPr>
          <w:rFonts w:eastAsia="Times New Roman" w:cs="Arial"/>
          <w:sz w:val="22"/>
          <w:szCs w:val="22"/>
          <w:lang w:eastAsia="en-US"/>
        </w:rPr>
        <w:t xml:space="preserve">., 2018 U.S. Dist. LEXIS 26695 (D. New Mexico Feb. 2018) (citing Seaman and Schulze on contractual indemnity claims) 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i/>
          <w:sz w:val="22"/>
          <w:szCs w:val="22"/>
          <w:lang w:eastAsia="en-US"/>
        </w:rPr>
        <w:t xml:space="preserve">Reinke Mfg. v. </w:t>
      </w:r>
      <w:proofErr w:type="spellStart"/>
      <w:r w:rsidRPr="00B317F4">
        <w:rPr>
          <w:rFonts w:eastAsia="Times New Roman" w:cs="Arial"/>
          <w:i/>
          <w:sz w:val="22"/>
          <w:szCs w:val="22"/>
          <w:lang w:eastAsia="en-US"/>
        </w:rPr>
        <w:t>Elecsys</w:t>
      </w:r>
      <w:proofErr w:type="spellEnd"/>
      <w:r w:rsidRPr="00B317F4">
        <w:rPr>
          <w:rFonts w:eastAsia="Times New Roman" w:cs="Arial"/>
          <w:i/>
          <w:sz w:val="22"/>
          <w:szCs w:val="22"/>
          <w:lang w:eastAsia="en-US"/>
        </w:rPr>
        <w:t xml:space="preserve"> Corp., </w:t>
      </w:r>
      <w:r w:rsidRPr="00B317F4">
        <w:rPr>
          <w:rFonts w:eastAsia="Times New Roman" w:cs="Arial"/>
          <w:sz w:val="22"/>
          <w:szCs w:val="22"/>
          <w:lang w:eastAsia="en-US"/>
        </w:rPr>
        <w:t xml:space="preserve">2018 U.S. Dist. LEXIS 26695 (D. Neb. Feb. 20, 2018) (citing Seaman and Schulze treatise on contractual indemnity) 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i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i/>
          <w:sz w:val="22"/>
          <w:szCs w:val="22"/>
          <w:lang w:eastAsia="en-US"/>
        </w:rPr>
        <w:t>Am. Auto. Ins. Co. v. First Mercury Ins. Co</w:t>
      </w:r>
      <w:r w:rsidRPr="00B317F4">
        <w:rPr>
          <w:rFonts w:eastAsia="Times New Roman" w:cs="Arial"/>
          <w:sz w:val="22"/>
          <w:szCs w:val="22"/>
          <w:lang w:eastAsia="en-US"/>
        </w:rPr>
        <w:t xml:space="preserve">., 2017 U.S. Dist. LEXIS 51336 (D. New Mexico Mar. 2017) (citing Seaman law review article on deductibles) 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i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i/>
          <w:sz w:val="22"/>
          <w:szCs w:val="22"/>
          <w:lang w:eastAsia="en-US"/>
        </w:rPr>
        <w:t>Endurance American Specialty Ins. Co. v. Century Sur. Co</w:t>
      </w:r>
      <w:r w:rsidRPr="00B317F4">
        <w:rPr>
          <w:rFonts w:eastAsia="Times New Roman" w:cs="Arial"/>
          <w:sz w:val="22"/>
          <w:szCs w:val="22"/>
          <w:lang w:eastAsia="en-US"/>
        </w:rPr>
        <w:t>., 2014 WL 4555697 (</w:t>
      </w:r>
      <w:proofErr w:type="spellStart"/>
      <w:r w:rsidRPr="00B317F4">
        <w:rPr>
          <w:rFonts w:eastAsia="Times New Roman" w:cs="Arial"/>
          <w:sz w:val="22"/>
          <w:szCs w:val="22"/>
          <w:lang w:eastAsia="en-US"/>
        </w:rPr>
        <w:t>S.D.N.Y</w:t>
      </w:r>
      <w:proofErr w:type="spellEnd"/>
      <w:r w:rsidRPr="00B317F4">
        <w:rPr>
          <w:rFonts w:eastAsia="Times New Roman" w:cs="Arial"/>
          <w:sz w:val="22"/>
          <w:szCs w:val="22"/>
          <w:lang w:eastAsia="en-US"/>
        </w:rPr>
        <w:t>. Sept. 2014) (citing Seaman and Schulze treatise on exhaustion issues)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i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i/>
          <w:sz w:val="22"/>
          <w:szCs w:val="22"/>
          <w:lang w:eastAsia="en-US"/>
        </w:rPr>
        <w:t>Canal Ins. Co. v. Montello, Inc</w:t>
      </w:r>
      <w:r w:rsidRPr="00B317F4">
        <w:rPr>
          <w:rFonts w:eastAsia="Times New Roman" w:cs="Arial"/>
          <w:sz w:val="22"/>
          <w:szCs w:val="22"/>
          <w:lang w:eastAsia="en-US"/>
        </w:rPr>
        <w:t>., 2013 WL 6732658 (N.D. Oklahoma Dec. 2013) (citing Seaman and Schulze treatise on insurer insolvency and drop down issues)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i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i/>
          <w:sz w:val="22"/>
          <w:szCs w:val="22"/>
          <w:lang w:eastAsia="en-US"/>
        </w:rPr>
        <w:t xml:space="preserve">First Mercury Ins. Co. v. Waterside Condominium </w:t>
      </w:r>
      <w:proofErr w:type="spellStart"/>
      <w:r w:rsidRPr="00B317F4">
        <w:rPr>
          <w:rFonts w:eastAsia="Times New Roman" w:cs="Arial"/>
          <w:i/>
          <w:sz w:val="22"/>
          <w:szCs w:val="22"/>
          <w:lang w:eastAsia="en-US"/>
        </w:rPr>
        <w:t>Ass’n</w:t>
      </w:r>
      <w:proofErr w:type="spellEnd"/>
      <w:r w:rsidRPr="00B317F4">
        <w:rPr>
          <w:rFonts w:eastAsia="Times New Roman" w:cs="Arial"/>
          <w:sz w:val="22"/>
          <w:szCs w:val="22"/>
          <w:lang w:eastAsia="en-US"/>
        </w:rPr>
        <w:t>, 2013 WL 6383883 (D. Oregon Dec. 2013) (citing Seaman and Schulze treatise on builder’s wrap-up insurance programs)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i/>
          <w:sz w:val="22"/>
          <w:szCs w:val="22"/>
          <w:lang w:eastAsia="en-US"/>
        </w:rPr>
        <w:t>Factory Mutual Insurance Co. v. Peri Formworks Systems, Inc</w:t>
      </w:r>
      <w:r w:rsidRPr="00B317F4">
        <w:rPr>
          <w:rFonts w:eastAsia="Times New Roman" w:cs="Arial"/>
          <w:sz w:val="22"/>
          <w:szCs w:val="22"/>
          <w:lang w:eastAsia="en-US"/>
        </w:rPr>
        <w:t>., 2016 WL 7191626 (D. Oregon Dec. 2016) (citing Seaman and Schulze treatise on builder’s wrap-up insurance programs)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i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i/>
          <w:sz w:val="22"/>
          <w:szCs w:val="22"/>
          <w:lang w:eastAsia="en-US"/>
        </w:rPr>
        <w:t>Rosser International, Inc. v. Walter P. Moore &amp; Associates</w:t>
      </w:r>
      <w:r w:rsidRPr="00B317F4">
        <w:rPr>
          <w:rFonts w:eastAsia="Times New Roman" w:cs="Arial"/>
          <w:sz w:val="22"/>
          <w:szCs w:val="22"/>
          <w:lang w:eastAsia="en-US"/>
        </w:rPr>
        <w:t>, 2013 WL 3989437 (W. D. Pa. Aug. 2013) (citing Seaman and Schulze treatise on joint defense agreements)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i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proofErr w:type="spellStart"/>
      <w:r w:rsidRPr="00B317F4">
        <w:rPr>
          <w:rFonts w:eastAsia="Times New Roman" w:cs="Arial"/>
          <w:i/>
          <w:sz w:val="22"/>
          <w:szCs w:val="22"/>
          <w:lang w:eastAsia="en-US"/>
        </w:rPr>
        <w:lastRenderedPageBreak/>
        <w:t>Treesdale</w:t>
      </w:r>
      <w:proofErr w:type="spellEnd"/>
      <w:r w:rsidRPr="00B317F4">
        <w:rPr>
          <w:rFonts w:eastAsia="Times New Roman" w:cs="Arial"/>
          <w:i/>
          <w:sz w:val="22"/>
          <w:szCs w:val="22"/>
          <w:lang w:eastAsia="en-US"/>
        </w:rPr>
        <w:t xml:space="preserve">, Inc. v. </w:t>
      </w:r>
      <w:proofErr w:type="spellStart"/>
      <w:r w:rsidRPr="00B317F4">
        <w:rPr>
          <w:rFonts w:eastAsia="Times New Roman" w:cs="Arial"/>
          <w:i/>
          <w:sz w:val="22"/>
          <w:szCs w:val="22"/>
          <w:lang w:eastAsia="en-US"/>
        </w:rPr>
        <w:t>TIG</w:t>
      </w:r>
      <w:proofErr w:type="spellEnd"/>
      <w:r w:rsidRPr="00B317F4">
        <w:rPr>
          <w:rFonts w:eastAsia="Times New Roman" w:cs="Arial"/>
          <w:i/>
          <w:sz w:val="22"/>
          <w:szCs w:val="22"/>
          <w:lang w:eastAsia="en-US"/>
        </w:rPr>
        <w:t xml:space="preserve"> Ins. Co.</w:t>
      </w:r>
      <w:r w:rsidRPr="00B317F4">
        <w:rPr>
          <w:rFonts w:eastAsia="Times New Roman" w:cs="Arial"/>
          <w:sz w:val="22"/>
          <w:szCs w:val="22"/>
          <w:lang w:eastAsia="en-US"/>
        </w:rPr>
        <w:t xml:space="preserve">, 681 </w:t>
      </w:r>
      <w:proofErr w:type="spellStart"/>
      <w:r w:rsidRPr="00B317F4">
        <w:rPr>
          <w:rFonts w:eastAsia="Times New Roman" w:cs="Arial"/>
          <w:sz w:val="22"/>
          <w:szCs w:val="22"/>
          <w:lang w:eastAsia="en-US"/>
        </w:rPr>
        <w:t>F.Supp.2d</w:t>
      </w:r>
      <w:proofErr w:type="spellEnd"/>
      <w:r w:rsidRPr="00B317F4">
        <w:rPr>
          <w:rFonts w:eastAsia="Times New Roman" w:cs="Arial"/>
          <w:sz w:val="22"/>
          <w:szCs w:val="22"/>
          <w:lang w:eastAsia="en-US"/>
        </w:rPr>
        <w:t xml:space="preserve"> 611 (</w:t>
      </w:r>
      <w:proofErr w:type="spellStart"/>
      <w:r w:rsidRPr="00B317F4">
        <w:rPr>
          <w:rFonts w:eastAsia="Times New Roman" w:cs="Arial"/>
          <w:sz w:val="22"/>
          <w:szCs w:val="22"/>
          <w:lang w:eastAsia="en-US"/>
        </w:rPr>
        <w:t>W.D</w:t>
      </w:r>
      <w:proofErr w:type="spellEnd"/>
      <w:r w:rsidRPr="00B317F4">
        <w:rPr>
          <w:rFonts w:eastAsia="Times New Roman" w:cs="Arial"/>
          <w:sz w:val="22"/>
          <w:szCs w:val="22"/>
          <w:lang w:eastAsia="en-US"/>
        </w:rPr>
        <w:t>. Pa. 2010) (citing Seaman law review article on umbrella insurance)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i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i/>
          <w:sz w:val="22"/>
          <w:szCs w:val="22"/>
          <w:lang w:eastAsia="en-US"/>
        </w:rPr>
        <w:t xml:space="preserve">Greene, Tweed &amp; Co., Inc. v. Hartford Acc. &amp; </w:t>
      </w:r>
      <w:proofErr w:type="spellStart"/>
      <w:r w:rsidRPr="00B317F4">
        <w:rPr>
          <w:rFonts w:eastAsia="Times New Roman" w:cs="Arial"/>
          <w:i/>
          <w:sz w:val="22"/>
          <w:szCs w:val="22"/>
          <w:lang w:eastAsia="en-US"/>
        </w:rPr>
        <w:t>Indem</w:t>
      </w:r>
      <w:proofErr w:type="spellEnd"/>
      <w:r w:rsidRPr="00B317F4">
        <w:rPr>
          <w:rFonts w:eastAsia="Times New Roman" w:cs="Arial"/>
          <w:i/>
          <w:sz w:val="22"/>
          <w:szCs w:val="22"/>
          <w:lang w:eastAsia="en-US"/>
        </w:rPr>
        <w:t>. Co</w:t>
      </w:r>
      <w:r w:rsidRPr="00B317F4">
        <w:rPr>
          <w:rFonts w:eastAsia="Times New Roman" w:cs="Arial"/>
          <w:sz w:val="22"/>
          <w:szCs w:val="22"/>
          <w:lang w:eastAsia="en-US"/>
        </w:rPr>
        <w:t>., 2006 WL 1050110 (E.D. Pa. 2006) (citing Seaman law review article on insurer insolvencies and drop down obligations)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i/>
          <w:sz w:val="22"/>
          <w:szCs w:val="22"/>
          <w:lang w:eastAsia="en-US"/>
        </w:rPr>
        <w:t xml:space="preserve">Quality Stone </w:t>
      </w:r>
      <w:proofErr w:type="spellStart"/>
      <w:r w:rsidRPr="00B317F4">
        <w:rPr>
          <w:rFonts w:eastAsia="Times New Roman" w:cs="Arial"/>
          <w:i/>
          <w:sz w:val="22"/>
          <w:szCs w:val="22"/>
          <w:lang w:eastAsia="en-US"/>
        </w:rPr>
        <w:t>Veener</w:t>
      </w:r>
      <w:proofErr w:type="spellEnd"/>
      <w:r w:rsidRPr="00B317F4">
        <w:rPr>
          <w:rFonts w:eastAsia="Times New Roman" w:cs="Arial"/>
          <w:i/>
          <w:sz w:val="22"/>
          <w:szCs w:val="22"/>
          <w:lang w:eastAsia="en-US"/>
        </w:rPr>
        <w:t>, Inc. v. Selective Ins. Co. of Am</w:t>
      </w:r>
      <w:r w:rsidRPr="00B317F4">
        <w:rPr>
          <w:rFonts w:eastAsia="Times New Roman" w:cs="Arial"/>
          <w:sz w:val="22"/>
          <w:szCs w:val="22"/>
          <w:lang w:eastAsia="en-US"/>
        </w:rPr>
        <w:t>., 2017 WL 345636 (E.D. Pa. 2017) (citing Seaman law review article on umbrella insurance)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i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i/>
          <w:sz w:val="22"/>
          <w:szCs w:val="22"/>
          <w:lang w:eastAsia="en-US"/>
        </w:rPr>
        <w:t>Liberty Mut. Fire Ins. Co., v. J.T. Walker Industries, Inc</w:t>
      </w:r>
      <w:r w:rsidRPr="00B317F4">
        <w:rPr>
          <w:rFonts w:eastAsia="Times New Roman" w:cs="Arial"/>
          <w:sz w:val="22"/>
          <w:szCs w:val="22"/>
          <w:lang w:eastAsia="en-US"/>
        </w:rPr>
        <w:t xml:space="preserve">., 817 F. Supp. </w:t>
      </w:r>
      <w:proofErr w:type="spellStart"/>
      <w:r w:rsidRPr="00B317F4">
        <w:rPr>
          <w:rFonts w:eastAsia="Times New Roman" w:cs="Arial"/>
          <w:sz w:val="22"/>
          <w:szCs w:val="22"/>
          <w:lang w:eastAsia="en-US"/>
        </w:rPr>
        <w:t>2d</w:t>
      </w:r>
      <w:proofErr w:type="spellEnd"/>
      <w:r w:rsidRPr="00B317F4">
        <w:rPr>
          <w:rFonts w:eastAsia="Times New Roman" w:cs="Arial"/>
          <w:sz w:val="22"/>
          <w:szCs w:val="22"/>
          <w:lang w:eastAsia="en-US"/>
        </w:rPr>
        <w:t xml:space="preserve"> 784 (D. South Carolina)  (citing Seaman and Schulze treatise on allocation and satisfaction of deductibles)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i/>
          <w:sz w:val="22"/>
          <w:szCs w:val="22"/>
          <w:lang w:eastAsia="en-US"/>
        </w:rPr>
        <w:t>Vt. Mut. Ins. Co. v. Cincinnati Specialty Underwriters Ins. Co</w:t>
      </w:r>
      <w:r w:rsidRPr="00B317F4">
        <w:rPr>
          <w:rFonts w:eastAsia="Times New Roman" w:cs="Arial"/>
          <w:sz w:val="22"/>
          <w:szCs w:val="22"/>
          <w:lang w:eastAsia="en-US"/>
        </w:rPr>
        <w:t xml:space="preserve">., 2019 U.S. Dist. LEXIS 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sz w:val="22"/>
          <w:szCs w:val="22"/>
          <w:lang w:eastAsia="en-US"/>
        </w:rPr>
        <w:t>23179 (D. Vermont) (citing Seaman and Schulze treatise on other insurance and escape clause)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i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i/>
          <w:sz w:val="22"/>
          <w:szCs w:val="22"/>
          <w:lang w:eastAsia="en-US"/>
        </w:rPr>
        <w:t xml:space="preserve">In re Feature Realty Litigation, </w:t>
      </w:r>
      <w:r w:rsidRPr="00B317F4">
        <w:rPr>
          <w:rFonts w:eastAsia="Times New Roman" w:cs="Arial"/>
          <w:sz w:val="22"/>
          <w:szCs w:val="22"/>
          <w:lang w:eastAsia="en-US"/>
        </w:rPr>
        <w:t>2007 WL 2703002 (E. D. Wash. Sept. 2007) (citing Seaman law review article on duty to defend standards and strategy)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b/>
          <w:sz w:val="22"/>
          <w:szCs w:val="22"/>
          <w:lang w:eastAsia="en-US"/>
        </w:rPr>
      </w:pPr>
      <w:r w:rsidRPr="00B317F4">
        <w:rPr>
          <w:rFonts w:eastAsia="Times New Roman" w:cs="Arial"/>
          <w:b/>
          <w:sz w:val="22"/>
          <w:szCs w:val="22"/>
          <w:lang w:eastAsia="en-US"/>
        </w:rPr>
        <w:t>Code Of Federal Regulations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sz w:val="22"/>
          <w:szCs w:val="22"/>
          <w:lang w:eastAsia="en-US"/>
        </w:rPr>
        <w:t xml:space="preserve">17 C.F.R. Section 229.101 (Item 101) (citing Seaman and DeLascio law review article on global warming claims and coverage issues). 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b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b/>
          <w:sz w:val="22"/>
          <w:szCs w:val="22"/>
          <w:lang w:eastAsia="en-US"/>
        </w:rPr>
      </w:pPr>
      <w:r w:rsidRPr="00B317F4">
        <w:rPr>
          <w:rFonts w:eastAsia="Times New Roman" w:cs="Arial"/>
          <w:b/>
          <w:sz w:val="22"/>
          <w:szCs w:val="22"/>
          <w:lang w:eastAsia="en-US"/>
        </w:rPr>
        <w:t>Insurer Briefs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sz w:val="22"/>
          <w:szCs w:val="22"/>
          <w:lang w:eastAsia="en-US"/>
        </w:rPr>
        <w:t>Scott’s writings also have been cited extensively by insurers in briefs in matters pending throughout the country including: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sz w:val="22"/>
          <w:szCs w:val="22"/>
          <w:lang w:eastAsia="en-US"/>
        </w:rPr>
        <w:t xml:space="preserve">Supreme Court of Hawaii (Lexington Insurance Company citing Seaman and Schulze treatise on coordination of coverage between claims-made and occurrence contracts in </w:t>
      </w:r>
      <w:r w:rsidRPr="00B317F4">
        <w:rPr>
          <w:rFonts w:eastAsia="Times New Roman" w:cs="Arial"/>
          <w:i/>
          <w:sz w:val="22"/>
          <w:szCs w:val="22"/>
          <w:lang w:eastAsia="en-US"/>
        </w:rPr>
        <w:t>Nautilus Ins. Co</w:t>
      </w:r>
      <w:r w:rsidRPr="00B317F4">
        <w:rPr>
          <w:rFonts w:eastAsia="Times New Roman" w:cs="Arial"/>
          <w:sz w:val="22"/>
          <w:szCs w:val="22"/>
          <w:lang w:eastAsia="en-US"/>
        </w:rPr>
        <w:t>.)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sz w:val="22"/>
          <w:szCs w:val="22"/>
          <w:lang w:eastAsia="en-US"/>
        </w:rPr>
        <w:t xml:space="preserve">Illinois Supreme Court (Certain Underwriters at Lloyds, London citing Seaman treatise on excess insurers in </w:t>
      </w:r>
      <w:r w:rsidRPr="00B317F4">
        <w:rPr>
          <w:rFonts w:eastAsia="Times New Roman" w:cs="Arial"/>
          <w:i/>
          <w:sz w:val="22"/>
          <w:szCs w:val="22"/>
          <w:lang w:eastAsia="en-US"/>
        </w:rPr>
        <w:t>Nicor</w:t>
      </w:r>
      <w:r w:rsidRPr="00B317F4">
        <w:rPr>
          <w:rFonts w:eastAsia="Times New Roman" w:cs="Arial"/>
          <w:sz w:val="22"/>
          <w:szCs w:val="22"/>
          <w:lang w:eastAsia="en-US"/>
        </w:rPr>
        <w:t xml:space="preserve"> case)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sz w:val="22"/>
          <w:szCs w:val="22"/>
          <w:lang w:eastAsia="en-US"/>
        </w:rPr>
        <w:t xml:space="preserve">Indiana Supreme Court (ACE brief citing Seaman and Schulze allocation treatise in </w:t>
      </w:r>
      <w:r w:rsidRPr="00B317F4">
        <w:rPr>
          <w:rFonts w:eastAsia="Times New Roman" w:cs="Arial"/>
          <w:i/>
          <w:sz w:val="22"/>
          <w:szCs w:val="22"/>
          <w:lang w:eastAsia="en-US"/>
        </w:rPr>
        <w:t>Thomson</w:t>
      </w:r>
      <w:r w:rsidRPr="00B317F4">
        <w:rPr>
          <w:rFonts w:eastAsia="Times New Roman" w:cs="Arial"/>
          <w:sz w:val="22"/>
          <w:szCs w:val="22"/>
          <w:lang w:eastAsia="en-US"/>
        </w:rPr>
        <w:t xml:space="preserve"> case)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sz w:val="22"/>
          <w:szCs w:val="22"/>
          <w:lang w:eastAsia="en-US"/>
        </w:rPr>
        <w:t>Supreme Court of Massachusetts (</w:t>
      </w:r>
      <w:r w:rsidRPr="00B317F4">
        <w:rPr>
          <w:rFonts w:eastAsia="Times New Roman" w:cs="Arial"/>
          <w:i/>
          <w:sz w:val="22"/>
          <w:szCs w:val="22"/>
          <w:lang w:eastAsia="en-US"/>
        </w:rPr>
        <w:t>amicus</w:t>
      </w:r>
      <w:r w:rsidRPr="00B317F4">
        <w:rPr>
          <w:rFonts w:eastAsia="Times New Roman" w:cs="Arial"/>
          <w:sz w:val="22"/>
          <w:szCs w:val="22"/>
          <w:lang w:eastAsia="en-US"/>
        </w:rPr>
        <w:t xml:space="preserve"> citing Seaman law review article on following form and pure excess insurance in </w:t>
      </w:r>
      <w:r w:rsidRPr="00B317F4">
        <w:rPr>
          <w:rFonts w:eastAsia="Times New Roman" w:cs="Arial"/>
          <w:i/>
          <w:sz w:val="22"/>
          <w:szCs w:val="22"/>
          <w:lang w:eastAsia="en-US"/>
        </w:rPr>
        <w:t>Allmerica Financial</w:t>
      </w:r>
      <w:r w:rsidRPr="00B317F4">
        <w:rPr>
          <w:rFonts w:eastAsia="Times New Roman" w:cs="Arial"/>
          <w:sz w:val="22"/>
          <w:szCs w:val="22"/>
          <w:lang w:eastAsia="en-US"/>
        </w:rPr>
        <w:t xml:space="preserve"> case)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sz w:val="22"/>
          <w:szCs w:val="22"/>
          <w:lang w:eastAsia="en-US"/>
        </w:rPr>
        <w:t>Supreme Court of Massachusetts (Insurance Company of the State of Pennsylvania citing Seaman and Schulze treatise on equitable contribution claims)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sz w:val="22"/>
          <w:szCs w:val="22"/>
          <w:lang w:eastAsia="en-US"/>
        </w:rPr>
        <w:t xml:space="preserve">New York Court of Appeals (Liberty Mutual Underwriters citing Seaman and Schulze treatise on </w:t>
      </w:r>
      <w:proofErr w:type="spellStart"/>
      <w:r w:rsidRPr="00B317F4">
        <w:rPr>
          <w:rFonts w:eastAsia="Times New Roman" w:cs="Arial"/>
          <w:sz w:val="22"/>
          <w:szCs w:val="22"/>
          <w:lang w:eastAsia="en-US"/>
        </w:rPr>
        <w:t>contruction</w:t>
      </w:r>
      <w:proofErr w:type="spellEnd"/>
      <w:r w:rsidRPr="00B317F4">
        <w:rPr>
          <w:rFonts w:eastAsia="Times New Roman" w:cs="Arial"/>
          <w:sz w:val="22"/>
          <w:szCs w:val="22"/>
          <w:lang w:eastAsia="en-US"/>
        </w:rPr>
        <w:t xml:space="preserve"> contracts and additional insureds)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sz w:val="22"/>
          <w:szCs w:val="22"/>
          <w:lang w:eastAsia="en-US"/>
        </w:rPr>
        <w:t xml:space="preserve">New York Court of Appeals (Century citing Seaman and Schulze allocation treatise in </w:t>
      </w:r>
      <w:proofErr w:type="spellStart"/>
      <w:r w:rsidRPr="00B317F4">
        <w:rPr>
          <w:rFonts w:eastAsia="Times New Roman" w:cs="Arial"/>
          <w:i/>
          <w:sz w:val="22"/>
          <w:szCs w:val="22"/>
          <w:lang w:eastAsia="en-US"/>
        </w:rPr>
        <w:t>KeySpan</w:t>
      </w:r>
      <w:proofErr w:type="spellEnd"/>
      <w:r w:rsidRPr="00B317F4">
        <w:rPr>
          <w:rFonts w:eastAsia="Times New Roman" w:cs="Arial"/>
          <w:sz w:val="22"/>
          <w:szCs w:val="22"/>
          <w:lang w:eastAsia="en-US"/>
        </w:rPr>
        <w:t xml:space="preserve"> case)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sz w:val="22"/>
          <w:szCs w:val="22"/>
          <w:lang w:eastAsia="en-US"/>
        </w:rPr>
        <w:lastRenderedPageBreak/>
        <w:t xml:space="preserve">New York Court of Appeals (various insurers citing Seaman and Schulze allocation treatise in </w:t>
      </w:r>
      <w:r w:rsidRPr="00B317F4">
        <w:rPr>
          <w:rFonts w:eastAsia="Times New Roman" w:cs="Arial"/>
          <w:i/>
          <w:sz w:val="22"/>
          <w:szCs w:val="22"/>
          <w:lang w:eastAsia="en-US"/>
        </w:rPr>
        <w:t>Viking Pump</w:t>
      </w:r>
      <w:r w:rsidRPr="00B317F4">
        <w:rPr>
          <w:rFonts w:eastAsia="Times New Roman" w:cs="Arial"/>
          <w:sz w:val="22"/>
          <w:szCs w:val="22"/>
          <w:lang w:eastAsia="en-US"/>
        </w:rPr>
        <w:t xml:space="preserve"> case)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sz w:val="22"/>
          <w:szCs w:val="22"/>
          <w:lang w:eastAsia="en-US"/>
        </w:rPr>
        <w:t xml:space="preserve">New York Court of Appeals (Travelers citing Seaman law review article on “all sums” allocation methodology being inconsistent with the injury in fact trigger and policy language in </w:t>
      </w:r>
      <w:r w:rsidRPr="00B317F4">
        <w:rPr>
          <w:rFonts w:eastAsia="Times New Roman" w:cs="Arial"/>
          <w:i/>
          <w:sz w:val="22"/>
          <w:szCs w:val="22"/>
          <w:lang w:eastAsia="en-US"/>
        </w:rPr>
        <w:t>Consolidated Edison</w:t>
      </w:r>
      <w:r w:rsidRPr="00B317F4">
        <w:rPr>
          <w:rFonts w:eastAsia="Times New Roman" w:cs="Arial"/>
          <w:sz w:val="22"/>
          <w:szCs w:val="22"/>
          <w:lang w:eastAsia="en-US"/>
        </w:rPr>
        <w:t xml:space="preserve"> case).  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sz w:val="22"/>
          <w:szCs w:val="22"/>
          <w:lang w:eastAsia="en-US"/>
        </w:rPr>
        <w:t xml:space="preserve">Pennsylvania Supreme Court (Donegal Mutual citing Seaman and Schulze treatise on number of occurrences in </w:t>
      </w:r>
      <w:proofErr w:type="spellStart"/>
      <w:r w:rsidRPr="00B317F4">
        <w:rPr>
          <w:rFonts w:eastAsia="Times New Roman" w:cs="Arial"/>
          <w:i/>
          <w:sz w:val="22"/>
          <w:szCs w:val="22"/>
          <w:lang w:eastAsia="en-US"/>
        </w:rPr>
        <w:t>Baumhammers</w:t>
      </w:r>
      <w:proofErr w:type="spellEnd"/>
      <w:r w:rsidRPr="00B317F4">
        <w:rPr>
          <w:rFonts w:eastAsia="Times New Roman" w:cs="Arial"/>
          <w:i/>
          <w:sz w:val="22"/>
          <w:szCs w:val="22"/>
          <w:lang w:eastAsia="en-US"/>
        </w:rPr>
        <w:t xml:space="preserve"> </w:t>
      </w:r>
      <w:r w:rsidRPr="00B317F4">
        <w:rPr>
          <w:rFonts w:eastAsia="Times New Roman" w:cs="Arial"/>
          <w:sz w:val="22"/>
          <w:szCs w:val="22"/>
          <w:lang w:eastAsia="en-US"/>
        </w:rPr>
        <w:t>case)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sz w:val="22"/>
          <w:szCs w:val="22"/>
          <w:lang w:eastAsia="en-US"/>
        </w:rPr>
        <w:t xml:space="preserve">Texas Supreme Court and Texas Court of Appeal (Markel citing Seaman and Schulze allocation treatise in </w:t>
      </w:r>
      <w:r w:rsidRPr="00B317F4">
        <w:rPr>
          <w:rFonts w:eastAsia="Times New Roman" w:cs="Arial"/>
          <w:i/>
          <w:sz w:val="22"/>
          <w:szCs w:val="22"/>
          <w:lang w:eastAsia="en-US"/>
        </w:rPr>
        <w:t>Lennar</w:t>
      </w:r>
      <w:r w:rsidRPr="00B317F4">
        <w:rPr>
          <w:rFonts w:eastAsia="Times New Roman" w:cs="Arial"/>
          <w:sz w:val="22"/>
          <w:szCs w:val="22"/>
          <w:lang w:eastAsia="en-US"/>
        </w:rPr>
        <w:t xml:space="preserve"> case)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sz w:val="22"/>
          <w:szCs w:val="22"/>
          <w:lang w:eastAsia="en-US"/>
        </w:rPr>
        <w:t xml:space="preserve">Texas Supreme Court and Texas Court of Appeal (Highlands Ins. Co. citing Seaman and Schulze treatise on exhaustion and excess insurance principles in </w:t>
      </w:r>
      <w:r w:rsidRPr="00B317F4">
        <w:rPr>
          <w:rFonts w:eastAsia="Times New Roman" w:cs="Arial"/>
          <w:i/>
          <w:sz w:val="22"/>
          <w:szCs w:val="22"/>
          <w:lang w:eastAsia="en-US"/>
        </w:rPr>
        <w:t>Plantation Pipeline</w:t>
      </w:r>
      <w:r w:rsidRPr="00B317F4">
        <w:rPr>
          <w:rFonts w:eastAsia="Times New Roman" w:cs="Arial"/>
          <w:sz w:val="22"/>
          <w:szCs w:val="22"/>
          <w:lang w:eastAsia="en-US"/>
        </w:rPr>
        <w:t xml:space="preserve"> case)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sz w:val="22"/>
          <w:szCs w:val="22"/>
          <w:lang w:eastAsia="en-US"/>
        </w:rPr>
        <w:t xml:space="preserve">Supreme Court of New York (Century citing Seaman and Schulze treatise in the </w:t>
      </w:r>
      <w:proofErr w:type="spellStart"/>
      <w:r w:rsidRPr="00B317F4">
        <w:rPr>
          <w:rFonts w:eastAsia="Times New Roman" w:cs="Arial"/>
          <w:i/>
          <w:sz w:val="22"/>
          <w:szCs w:val="22"/>
          <w:lang w:eastAsia="en-US"/>
        </w:rPr>
        <w:t>Keyspan</w:t>
      </w:r>
      <w:proofErr w:type="spellEnd"/>
      <w:r w:rsidRPr="00B317F4">
        <w:rPr>
          <w:rFonts w:eastAsia="Times New Roman" w:cs="Arial"/>
          <w:sz w:val="22"/>
          <w:szCs w:val="22"/>
          <w:lang w:eastAsia="en-US"/>
        </w:rPr>
        <w:t xml:space="preserve"> case on allocation and unavailability of insurance coverage)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sz w:val="22"/>
          <w:szCs w:val="22"/>
          <w:lang w:eastAsia="en-US"/>
        </w:rPr>
        <w:t xml:space="preserve">United States Court of Appeals for the Second Circuit (Century Indemnity Company citing Seaman and Schulze treatise on recoupment of defense costs in </w:t>
      </w:r>
      <w:r w:rsidRPr="00B317F4">
        <w:rPr>
          <w:rFonts w:eastAsia="Times New Roman" w:cs="Arial"/>
          <w:i/>
          <w:sz w:val="22"/>
          <w:szCs w:val="22"/>
          <w:lang w:eastAsia="en-US"/>
        </w:rPr>
        <w:t>Narragansett Electric Co</w:t>
      </w:r>
      <w:r w:rsidRPr="00B317F4">
        <w:rPr>
          <w:rFonts w:eastAsia="Times New Roman" w:cs="Arial"/>
          <w:sz w:val="22"/>
          <w:szCs w:val="22"/>
          <w:lang w:eastAsia="en-US"/>
        </w:rPr>
        <w:t xml:space="preserve">.) 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sz w:val="22"/>
          <w:szCs w:val="22"/>
          <w:lang w:eastAsia="en-US"/>
        </w:rPr>
        <w:t>United States Court of Appeals for the Second Circuit (Midgal Insurance Company citing Seaman and Schulze treatise on other insurance clauses)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i/>
          <w:sz w:val="22"/>
          <w:szCs w:val="22"/>
          <w:lang w:eastAsia="en-US"/>
        </w:rPr>
      </w:pPr>
      <w:r w:rsidRPr="00B317F4">
        <w:rPr>
          <w:rFonts w:eastAsia="Times New Roman" w:cs="Arial"/>
          <w:sz w:val="22"/>
          <w:szCs w:val="22"/>
          <w:lang w:eastAsia="en-US"/>
        </w:rPr>
        <w:t xml:space="preserve">United States Court of Appeals for the Fifth Circuit (Insurance Company of the State of Pennsylvania citing Seaman law review article on duty to defend in </w:t>
      </w:r>
      <w:r w:rsidRPr="00B317F4">
        <w:rPr>
          <w:rFonts w:eastAsia="Times New Roman" w:cs="Arial"/>
          <w:i/>
          <w:sz w:val="22"/>
          <w:szCs w:val="22"/>
          <w:lang w:eastAsia="en-US"/>
        </w:rPr>
        <w:t>Schneider National Transport</w:t>
      </w:r>
      <w:r w:rsidRPr="00B317F4">
        <w:rPr>
          <w:rFonts w:eastAsia="Times New Roman" w:cs="Arial"/>
          <w:sz w:val="22"/>
          <w:szCs w:val="22"/>
          <w:lang w:eastAsia="en-US"/>
        </w:rPr>
        <w:t>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i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sz w:val="22"/>
          <w:szCs w:val="22"/>
          <w:lang w:eastAsia="en-US"/>
        </w:rPr>
        <w:t xml:space="preserve">United States Court of Appeals for the Fifth Circuit (Affiliated FM citing Seaman and Schulze treatise on other insurance clauses in </w:t>
      </w:r>
      <w:r w:rsidRPr="00B317F4">
        <w:rPr>
          <w:rFonts w:eastAsia="Times New Roman" w:cs="Arial"/>
          <w:i/>
          <w:sz w:val="22"/>
          <w:szCs w:val="22"/>
          <w:lang w:eastAsia="en-US"/>
        </w:rPr>
        <w:t>Southern Insurance Co</w:t>
      </w:r>
      <w:r w:rsidRPr="00B317F4">
        <w:rPr>
          <w:rFonts w:eastAsia="Times New Roman" w:cs="Arial"/>
          <w:sz w:val="22"/>
          <w:szCs w:val="22"/>
          <w:lang w:eastAsia="en-US"/>
        </w:rPr>
        <w:t xml:space="preserve">.) 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sz w:val="22"/>
          <w:szCs w:val="22"/>
          <w:lang w:eastAsia="en-US"/>
        </w:rPr>
        <w:t xml:space="preserve">United States Court of Appeals for the Fifth Circuit (Westchester Fire citing Seaman and Schulze treatise on other insurance clauses in </w:t>
      </w:r>
      <w:proofErr w:type="spellStart"/>
      <w:r w:rsidRPr="00B317F4">
        <w:rPr>
          <w:rFonts w:eastAsia="Times New Roman" w:cs="Arial"/>
          <w:i/>
          <w:sz w:val="22"/>
          <w:szCs w:val="22"/>
          <w:lang w:eastAsia="en-US"/>
        </w:rPr>
        <w:t>EMJ</w:t>
      </w:r>
      <w:proofErr w:type="spellEnd"/>
      <w:r w:rsidRPr="00B317F4">
        <w:rPr>
          <w:rFonts w:eastAsia="Times New Roman" w:cs="Arial"/>
          <w:i/>
          <w:sz w:val="22"/>
          <w:szCs w:val="22"/>
          <w:lang w:eastAsia="en-US"/>
        </w:rPr>
        <w:t xml:space="preserve"> Corporation</w:t>
      </w:r>
      <w:r w:rsidRPr="00B317F4">
        <w:rPr>
          <w:rFonts w:eastAsia="Times New Roman" w:cs="Arial"/>
          <w:sz w:val="22"/>
          <w:szCs w:val="22"/>
          <w:lang w:eastAsia="en-US"/>
        </w:rPr>
        <w:t>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sz w:val="22"/>
          <w:szCs w:val="22"/>
          <w:lang w:eastAsia="en-US"/>
        </w:rPr>
        <w:t xml:space="preserve">United States Court of Appeals for the Fifth Circuit (Ranger Ins. citing Seaman and Schulze treatise on assignment of risk in construction contracts in the </w:t>
      </w:r>
      <w:r w:rsidRPr="00B317F4">
        <w:rPr>
          <w:rFonts w:eastAsia="Times New Roman" w:cs="Arial"/>
          <w:i/>
          <w:sz w:val="22"/>
          <w:szCs w:val="22"/>
          <w:lang w:eastAsia="en-US"/>
        </w:rPr>
        <w:t>Deepwater Horizon</w:t>
      </w:r>
      <w:r w:rsidRPr="00B317F4">
        <w:rPr>
          <w:rFonts w:eastAsia="Times New Roman" w:cs="Arial"/>
          <w:sz w:val="22"/>
          <w:szCs w:val="22"/>
          <w:lang w:eastAsia="en-US"/>
        </w:rPr>
        <w:t xml:space="preserve"> case)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  <w:r w:rsidRPr="00B317F4">
        <w:rPr>
          <w:rFonts w:eastAsia="Times New Roman" w:cs="Arial"/>
          <w:sz w:val="22"/>
          <w:szCs w:val="22"/>
          <w:lang w:eastAsia="en-US"/>
        </w:rPr>
        <w:t xml:space="preserve">United States Court of Appeals for the Eighth Circuit (U.S. Fire Insurance Company citing Seaman and Schulze treatise on allocation in </w:t>
      </w:r>
      <w:r w:rsidRPr="00B317F4">
        <w:rPr>
          <w:rFonts w:eastAsia="Times New Roman" w:cs="Arial"/>
          <w:i/>
          <w:sz w:val="22"/>
          <w:szCs w:val="22"/>
          <w:lang w:eastAsia="en-US"/>
        </w:rPr>
        <w:t>H.B. Fuller</w:t>
      </w:r>
      <w:r w:rsidRPr="00B317F4">
        <w:rPr>
          <w:rFonts w:eastAsia="Times New Roman" w:cs="Arial"/>
          <w:sz w:val="22"/>
          <w:szCs w:val="22"/>
          <w:lang w:eastAsia="en-US"/>
        </w:rPr>
        <w:t>)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b/>
          <w:sz w:val="22"/>
          <w:szCs w:val="22"/>
          <w:lang w:eastAsia="en-US"/>
        </w:rPr>
      </w:pPr>
      <w:r w:rsidRPr="00B317F4">
        <w:rPr>
          <w:rFonts w:eastAsia="Times New Roman" w:cs="Arial"/>
          <w:b/>
          <w:sz w:val="22"/>
          <w:szCs w:val="22"/>
          <w:lang w:eastAsia="en-US"/>
        </w:rPr>
        <w:t>Secondary Sources</w:t>
      </w: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sz w:val="22"/>
          <w:szCs w:val="22"/>
          <w:lang w:eastAsia="en-US"/>
        </w:rPr>
      </w:pPr>
    </w:p>
    <w:p w:rsidR="00B317F4" w:rsidRPr="00B317F4" w:rsidRDefault="00B317F4" w:rsidP="00B317F4">
      <w:pPr>
        <w:adjustRightInd/>
        <w:snapToGrid/>
        <w:spacing w:before="0" w:after="0" w:line="240" w:lineRule="auto"/>
        <w:jc w:val="both"/>
        <w:rPr>
          <w:rFonts w:eastAsia="Times New Roman" w:cs="Arial"/>
          <w:i/>
          <w:sz w:val="22"/>
          <w:szCs w:val="22"/>
          <w:lang w:eastAsia="en-US"/>
        </w:rPr>
      </w:pPr>
      <w:r w:rsidRPr="00B317F4">
        <w:rPr>
          <w:rFonts w:eastAsia="Times New Roman" w:cs="Arial"/>
          <w:sz w:val="22"/>
          <w:szCs w:val="22"/>
          <w:lang w:eastAsia="en-US"/>
        </w:rPr>
        <w:t xml:space="preserve">Scott’s writings also have been cited in secondary sources including </w:t>
      </w:r>
      <w:r w:rsidRPr="00B317F4">
        <w:rPr>
          <w:rFonts w:eastAsia="Times New Roman" w:cs="Arial"/>
          <w:i/>
          <w:sz w:val="22"/>
          <w:szCs w:val="22"/>
          <w:lang w:eastAsia="en-US"/>
        </w:rPr>
        <w:t>Appleman: Current Critical Insurance Law</w:t>
      </w:r>
      <w:r w:rsidRPr="00B317F4">
        <w:rPr>
          <w:rFonts w:eastAsia="Times New Roman" w:cs="Arial"/>
          <w:sz w:val="22"/>
          <w:szCs w:val="22"/>
          <w:lang w:eastAsia="en-US"/>
        </w:rPr>
        <w:t xml:space="preserve">, </w:t>
      </w:r>
      <w:r w:rsidRPr="00B317F4">
        <w:rPr>
          <w:rFonts w:eastAsia="Times New Roman" w:cs="Arial"/>
          <w:i/>
          <w:sz w:val="22"/>
          <w:szCs w:val="22"/>
          <w:lang w:eastAsia="en-US"/>
        </w:rPr>
        <w:t>New Appleman on Insurance Law</w:t>
      </w:r>
      <w:r w:rsidRPr="00B317F4">
        <w:rPr>
          <w:rFonts w:eastAsia="Times New Roman" w:cs="Arial"/>
          <w:sz w:val="22"/>
          <w:szCs w:val="22"/>
          <w:lang w:eastAsia="en-US"/>
        </w:rPr>
        <w:t xml:space="preserve">, </w:t>
      </w:r>
      <w:r w:rsidRPr="00B317F4">
        <w:rPr>
          <w:rFonts w:eastAsia="Times New Roman" w:cs="Arial"/>
          <w:i/>
          <w:sz w:val="22"/>
          <w:szCs w:val="22"/>
          <w:lang w:eastAsia="en-US"/>
        </w:rPr>
        <w:t>Massachusetts Liability Insurance Manual</w:t>
      </w:r>
      <w:r w:rsidRPr="00B317F4">
        <w:rPr>
          <w:rFonts w:eastAsia="Times New Roman" w:cs="Arial"/>
          <w:sz w:val="22"/>
          <w:szCs w:val="22"/>
          <w:lang w:eastAsia="en-US"/>
        </w:rPr>
        <w:t xml:space="preserve">, ALI-ABA course of study materials, and the American Law Institute’s </w:t>
      </w:r>
      <w:r w:rsidRPr="00B317F4">
        <w:rPr>
          <w:rFonts w:eastAsia="Times New Roman" w:cs="Arial"/>
          <w:i/>
          <w:sz w:val="22"/>
          <w:szCs w:val="22"/>
          <w:lang w:eastAsia="en-US"/>
        </w:rPr>
        <w:t>Restatement of the Law - Liability Insurance.</w:t>
      </w:r>
    </w:p>
    <w:p w:rsidR="00745083" w:rsidRPr="00745083" w:rsidRDefault="00745083" w:rsidP="00745083"/>
    <w:sectPr w:rsidR="00745083" w:rsidRPr="00745083" w:rsidSect="00264B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800" w:left="1440" w:header="720" w:footer="720" w:gutter="0"/>
      <w:paperSrc w:first="15" w:other="15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7F4" w:rsidRDefault="00B317F4" w:rsidP="00EA3B1B">
      <w:pPr>
        <w:spacing w:after="0" w:line="240" w:lineRule="auto"/>
      </w:pPr>
      <w:r>
        <w:separator/>
      </w:r>
    </w:p>
  </w:endnote>
  <w:endnote w:type="continuationSeparator" w:id="0">
    <w:p w:rsidR="00B317F4" w:rsidRDefault="00B317F4" w:rsidP="00EA3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D1B" w:rsidRDefault="00FB0D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6AE" w:rsidRPr="005C0155" w:rsidRDefault="00BB4D80" w:rsidP="00EA3B1B">
    <w:pPr>
      <w:pStyle w:val="MarketingFooter"/>
      <w:rPr>
        <w:szCs w:val="18"/>
      </w:rPr>
    </w:pPr>
    <w:r w:rsidRPr="005C0155">
      <w:rPr>
        <w:noProof/>
        <w:szCs w:val="18"/>
      </w:rPr>
      <w:drawing>
        <wp:anchor distT="0" distB="0" distL="114300" distR="114300" simplePos="0" relativeHeight="251658240" behindDoc="0" locked="0" layoutInCell="1" allowOverlap="1" wp14:anchorId="079025D8" wp14:editId="43E5536C">
          <wp:simplePos x="0" y="0"/>
          <wp:positionH relativeFrom="column">
            <wp:posOffset>-64770</wp:posOffset>
          </wp:positionH>
          <wp:positionV relativeFrom="paragraph">
            <wp:posOffset>-91852</wp:posOffset>
          </wp:positionV>
          <wp:extent cx="1554480" cy="356235"/>
          <wp:effectExtent l="0" t="0" r="762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inshaw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2045" w:rsidRPr="005C0155">
      <w:rPr>
        <w:szCs w:val="18"/>
      </w:rPr>
      <w:t>©</w:t>
    </w:r>
    <w:r w:rsidR="003E2045" w:rsidRPr="005C0155">
      <w:rPr>
        <w:szCs w:val="18"/>
      </w:rPr>
      <w:fldChar w:fldCharType="begin"/>
    </w:r>
    <w:r w:rsidR="003E2045" w:rsidRPr="005C0155">
      <w:rPr>
        <w:szCs w:val="18"/>
      </w:rPr>
      <w:instrText xml:space="preserve"> DATE  \@ "yyyy" </w:instrText>
    </w:r>
    <w:r w:rsidR="003E2045" w:rsidRPr="005C0155">
      <w:rPr>
        <w:szCs w:val="18"/>
      </w:rPr>
      <w:fldChar w:fldCharType="separate"/>
    </w:r>
    <w:r w:rsidR="00B317F4">
      <w:rPr>
        <w:noProof/>
        <w:szCs w:val="18"/>
      </w:rPr>
      <w:t>2020</w:t>
    </w:r>
    <w:r w:rsidR="003E2045" w:rsidRPr="005C0155">
      <w:rPr>
        <w:szCs w:val="18"/>
      </w:rPr>
      <w:fldChar w:fldCharType="end"/>
    </w:r>
    <w:r w:rsidR="003E2045" w:rsidRPr="005C0155">
      <w:rPr>
        <w:szCs w:val="18"/>
      </w:rPr>
      <w:t xml:space="preserve"> </w:t>
    </w:r>
    <w:r w:rsidR="00F416AE" w:rsidRPr="005C0155">
      <w:rPr>
        <w:szCs w:val="18"/>
      </w:rPr>
      <w:t xml:space="preserve">Hinshaw &amp; </w:t>
    </w:r>
    <w:r w:rsidR="00F732B7" w:rsidRPr="005C0155">
      <w:rPr>
        <w:szCs w:val="18"/>
      </w:rPr>
      <w:t xml:space="preserve">Culbertson </w:t>
    </w:r>
    <w:r w:rsidR="00F416AE" w:rsidRPr="005C0155">
      <w:rPr>
        <w:szCs w:val="18"/>
      </w:rPr>
      <w:t xml:space="preserve">LLP | </w:t>
    </w:r>
    <w:r w:rsidR="00F416AE" w:rsidRPr="005C0155">
      <w:rPr>
        <w:szCs w:val="18"/>
      </w:rPr>
      <w:fldChar w:fldCharType="begin"/>
    </w:r>
    <w:r w:rsidR="00F416AE" w:rsidRPr="005C0155">
      <w:rPr>
        <w:szCs w:val="18"/>
      </w:rPr>
      <w:instrText xml:space="preserve"> PAGE   \* MERGEFORMAT </w:instrText>
    </w:r>
    <w:r w:rsidR="00F416AE" w:rsidRPr="005C0155">
      <w:rPr>
        <w:szCs w:val="18"/>
      </w:rPr>
      <w:fldChar w:fldCharType="separate"/>
    </w:r>
    <w:r w:rsidR="00A92202" w:rsidRPr="005C0155">
      <w:rPr>
        <w:noProof/>
        <w:szCs w:val="18"/>
      </w:rPr>
      <w:t>2</w:t>
    </w:r>
    <w:r w:rsidR="00F416AE" w:rsidRPr="005C0155">
      <w:rPr>
        <w:noProof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241" w:rsidRPr="005C0155" w:rsidRDefault="00BB4D80" w:rsidP="00272241">
    <w:pPr>
      <w:pStyle w:val="MarketingFooter"/>
      <w:rPr>
        <w:szCs w:val="18"/>
      </w:rPr>
    </w:pPr>
    <w:r w:rsidRPr="005C0155">
      <w:rPr>
        <w:noProof/>
        <w:szCs w:val="18"/>
      </w:rPr>
      <w:drawing>
        <wp:anchor distT="0" distB="0" distL="114300" distR="114300" simplePos="0" relativeHeight="251660288" behindDoc="0" locked="0" layoutInCell="1" allowOverlap="1" wp14:anchorId="7D61EA05" wp14:editId="305BD008">
          <wp:simplePos x="0" y="0"/>
          <wp:positionH relativeFrom="column">
            <wp:posOffset>-64770</wp:posOffset>
          </wp:positionH>
          <wp:positionV relativeFrom="paragraph">
            <wp:posOffset>-93757</wp:posOffset>
          </wp:positionV>
          <wp:extent cx="1554480" cy="356235"/>
          <wp:effectExtent l="0" t="0" r="7620" b="571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inshaw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2241" w:rsidRPr="005C0155">
      <w:rPr>
        <w:szCs w:val="18"/>
      </w:rPr>
      <w:t>©</w:t>
    </w:r>
    <w:r w:rsidR="00272241" w:rsidRPr="005C0155">
      <w:rPr>
        <w:szCs w:val="18"/>
      </w:rPr>
      <w:fldChar w:fldCharType="begin"/>
    </w:r>
    <w:r w:rsidR="00272241" w:rsidRPr="005C0155">
      <w:rPr>
        <w:szCs w:val="18"/>
      </w:rPr>
      <w:instrText xml:space="preserve"> DATE  \@ "yyyy" </w:instrText>
    </w:r>
    <w:r w:rsidR="00272241" w:rsidRPr="005C0155">
      <w:rPr>
        <w:szCs w:val="18"/>
      </w:rPr>
      <w:fldChar w:fldCharType="separate"/>
    </w:r>
    <w:r w:rsidR="00B317F4">
      <w:rPr>
        <w:noProof/>
        <w:szCs w:val="18"/>
      </w:rPr>
      <w:t>2020</w:t>
    </w:r>
    <w:r w:rsidR="00272241" w:rsidRPr="005C0155">
      <w:rPr>
        <w:szCs w:val="18"/>
      </w:rPr>
      <w:fldChar w:fldCharType="end"/>
    </w:r>
    <w:r w:rsidR="00272241" w:rsidRPr="005C0155">
      <w:rPr>
        <w:szCs w:val="18"/>
      </w:rPr>
      <w:t xml:space="preserve"> Hinshaw &amp; Culbertson LLP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7F4" w:rsidRDefault="00B317F4" w:rsidP="00EA3B1B">
      <w:pPr>
        <w:spacing w:after="0" w:line="240" w:lineRule="auto"/>
      </w:pPr>
      <w:r>
        <w:separator/>
      </w:r>
    </w:p>
  </w:footnote>
  <w:footnote w:type="continuationSeparator" w:id="0">
    <w:p w:rsidR="00B317F4" w:rsidRDefault="00B317F4" w:rsidP="00EA3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D1B" w:rsidRDefault="00FB0D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6AE" w:rsidRDefault="00EA5374" w:rsidP="00DE7CCB">
    <w:pPr>
      <w:pStyle w:val="MarketingBody"/>
      <w:jc w:val="right"/>
    </w:pPr>
    <w:r>
      <w:rPr>
        <w:noProof/>
      </w:rPr>
      <w:drawing>
        <wp:inline distT="0" distB="0" distL="0" distR="0" wp14:anchorId="079025D6" wp14:editId="079025D7">
          <wp:extent cx="781050" cy="173378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48" cy="173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6AE" w:rsidRDefault="009159FE" w:rsidP="00B30A17">
    <w:pPr>
      <w:pStyle w:val="MarketingBody"/>
      <w:jc w:val="right"/>
    </w:pPr>
    <w:r>
      <w:rPr>
        <w:noProof/>
      </w:rPr>
      <w:drawing>
        <wp:inline distT="0" distB="0" distL="0" distR="0" wp14:anchorId="079025DA" wp14:editId="079025DB">
          <wp:extent cx="781050" cy="173378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48" cy="173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91989"/>
    <w:multiLevelType w:val="multilevel"/>
    <w:tmpl w:val="F6CC891A"/>
    <w:lvl w:ilvl="0">
      <w:start w:val="1"/>
      <w:numFmt w:val="bullet"/>
      <w:pStyle w:val="MarketingBullet3"/>
      <w:lvlText w:val=""/>
      <w:lvlJc w:val="left"/>
      <w:pPr>
        <w:ind w:left="360" w:hanging="360"/>
      </w:pPr>
      <w:rPr>
        <w:rFonts w:ascii="Symbol" w:hAnsi="Symbol" w:hint="default"/>
        <w:color w:val="27AAE1" w:themeColor="accent1"/>
      </w:rPr>
    </w:lvl>
    <w:lvl w:ilvl="1">
      <w:start w:val="1"/>
      <w:numFmt w:val="bullet"/>
      <w:pStyle w:val="MarketingBullet3"/>
      <w:lvlText w:val=""/>
      <w:lvlJc w:val="left"/>
      <w:pPr>
        <w:ind w:left="720" w:hanging="360"/>
      </w:pPr>
      <w:rPr>
        <w:rFonts w:ascii="Wingdings" w:hAnsi="Wingdings" w:hint="default"/>
        <w:color w:val="27AAE1" w:themeColor="accent1"/>
      </w:rPr>
    </w:lvl>
    <w:lvl w:ilvl="2">
      <w:start w:val="1"/>
      <w:numFmt w:val="bullet"/>
      <w:lvlText w:val=""/>
      <w:lvlJc w:val="left"/>
      <w:pPr>
        <w:ind w:left="576" w:hanging="288"/>
      </w:pPr>
      <w:rPr>
        <w:rFonts w:ascii="Symbol" w:hAnsi="Symbol" w:hint="default"/>
        <w:color w:val="27AAE1" w:themeColor="accent1"/>
      </w:rPr>
    </w:lvl>
    <w:lvl w:ilvl="3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320" w:hanging="72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760" w:hanging="72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6480" w:hanging="720"/>
      </w:pPr>
      <w:rPr>
        <w:rFonts w:ascii="Symbol" w:hAnsi="Symbol" w:hint="default"/>
      </w:rPr>
    </w:lvl>
  </w:abstractNum>
  <w:abstractNum w:abstractNumId="1" w15:restartNumberingAfterBreak="0">
    <w:nsid w:val="2F8D7F63"/>
    <w:multiLevelType w:val="multilevel"/>
    <w:tmpl w:val="662AE364"/>
    <w:name w:val="L1"/>
    <w:lvl w:ilvl="0">
      <w:start w:val="1"/>
      <w:numFmt w:val="bullet"/>
      <w:pStyle w:val="MarketingBullet"/>
      <w:lvlText w:val=""/>
      <w:lvlJc w:val="left"/>
      <w:pPr>
        <w:ind w:left="360" w:hanging="360"/>
      </w:pPr>
      <w:rPr>
        <w:rFonts w:ascii="Symbol" w:hAnsi="Symbol" w:hint="default"/>
        <w:color w:val="27AAE1" w:themeColor="accent1"/>
      </w:rPr>
    </w:lvl>
    <w:lvl w:ilvl="1">
      <w:start w:val="1"/>
      <w:numFmt w:val="bullet"/>
      <w:pStyle w:val="MarketingBulletSub"/>
      <w:lvlText w:val=""/>
      <w:lvlJc w:val="left"/>
      <w:pPr>
        <w:ind w:left="720" w:hanging="360"/>
      </w:pPr>
      <w:rPr>
        <w:rFonts w:ascii="Symbol" w:hAnsi="Symbol" w:hint="default"/>
        <w:color w:val="27AAE1" w:themeColor="accent1"/>
      </w:rPr>
    </w:lvl>
    <w:lvl w:ilvl="2">
      <w:start w:val="1"/>
      <w:numFmt w:val="bullet"/>
      <w:lvlText w:val=""/>
      <w:lvlJc w:val="left"/>
      <w:pPr>
        <w:ind w:left="576" w:hanging="288"/>
      </w:pPr>
      <w:rPr>
        <w:rFonts w:ascii="Symbol" w:hAnsi="Symbol" w:hint="default"/>
        <w:color w:val="27AAE1" w:themeColor="accent1"/>
      </w:rPr>
    </w:lvl>
    <w:lvl w:ilvl="3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0" w:hanging="72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4320" w:hanging="72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760" w:hanging="72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6480" w:hanging="720"/>
      </w:pPr>
      <w:rPr>
        <w:rFonts w:ascii="Symbol" w:hAnsi="Symbol" w:hint="default"/>
      </w:rPr>
    </w:lvl>
  </w:abstractNum>
  <w:abstractNum w:abstractNumId="2" w15:restartNumberingAfterBreak="0">
    <w:nsid w:val="7B250B68"/>
    <w:multiLevelType w:val="multilevel"/>
    <w:tmpl w:val="6792C6BE"/>
    <w:lvl w:ilvl="0">
      <w:start w:val="1"/>
      <w:numFmt w:val="bullet"/>
      <w:pStyle w:val="Heading1"/>
      <w:lvlText w:val=""/>
      <w:lvlJc w:val="left"/>
      <w:pPr>
        <w:ind w:left="274" w:hanging="274"/>
      </w:pPr>
      <w:rPr>
        <w:rFonts w:ascii="Symbol" w:hAnsi="Symbol" w:hint="default"/>
        <w:b w:val="0"/>
        <w:i w:val="0"/>
        <w:color w:val="27AAE1" w:themeColor="accent1"/>
        <w:sz w:val="20"/>
      </w:rPr>
    </w:lvl>
    <w:lvl w:ilvl="1">
      <w:start w:val="1"/>
      <w:numFmt w:val="bullet"/>
      <w:pStyle w:val="Heading2"/>
      <w:lvlText w:val=""/>
      <w:lvlJc w:val="left"/>
      <w:pPr>
        <w:ind w:left="576" w:hanging="216"/>
      </w:pPr>
      <w:rPr>
        <w:rFonts w:ascii="Symbol" w:hAnsi="Symbol" w:hint="default"/>
        <w:b w:val="0"/>
        <w:i w:val="0"/>
        <w:color w:val="27AAE1" w:themeColor="accent1"/>
        <w:sz w:val="20"/>
      </w:rPr>
    </w:lvl>
    <w:lvl w:ilvl="2">
      <w:start w:val="1"/>
      <w:numFmt w:val="bullet"/>
      <w:pStyle w:val="Heading3"/>
      <w:lvlText w:val=""/>
      <w:lvlJc w:val="left"/>
      <w:pPr>
        <w:ind w:left="1008" w:hanging="360"/>
      </w:pPr>
      <w:rPr>
        <w:rFonts w:ascii="Symbol" w:hAnsi="Symbol" w:hint="default"/>
        <w:b w:val="0"/>
        <w:i w:val="0"/>
        <w:color w:val="27AAE1" w:themeColor="accent1"/>
        <w:sz w:val="20"/>
      </w:rPr>
    </w:lvl>
    <w:lvl w:ilvl="3">
      <w:start w:val="1"/>
      <w:numFmt w:val="bullet"/>
      <w:pStyle w:val="Heading4"/>
      <w:lvlText w:val=""/>
      <w:lvlJc w:val="left"/>
      <w:pPr>
        <w:ind w:left="1296" w:hanging="288"/>
      </w:pPr>
      <w:rPr>
        <w:rFonts w:ascii="Symbol" w:hAnsi="Symbol" w:hint="default"/>
        <w:b w:val="0"/>
        <w:i w:val="0"/>
        <w:color w:val="27AAE1" w:themeColor="accent1"/>
        <w:sz w:val="20"/>
      </w:rPr>
    </w:lvl>
    <w:lvl w:ilvl="4">
      <w:start w:val="1"/>
      <w:numFmt w:val="bullet"/>
      <w:pStyle w:val="Heading5"/>
      <w:lvlText w:val=""/>
      <w:lvlJc w:val="left"/>
      <w:pPr>
        <w:ind w:left="1656" w:hanging="331"/>
      </w:pPr>
      <w:rPr>
        <w:rFonts w:ascii="Symbol" w:hAnsi="Symbol" w:hint="default"/>
        <w:color w:val="27AAE1" w:themeColor="accent1"/>
      </w:rPr>
    </w:lvl>
    <w:lvl w:ilvl="5">
      <w:start w:val="1"/>
      <w:numFmt w:val="bullet"/>
      <w:pStyle w:val="Heading6"/>
      <w:lvlText w:val=""/>
      <w:lvlJc w:val="left"/>
      <w:pPr>
        <w:tabs>
          <w:tab w:val="num" w:pos="1800"/>
        </w:tabs>
        <w:ind w:left="2117" w:hanging="317"/>
      </w:pPr>
      <w:rPr>
        <w:rFonts w:ascii="Symbol" w:hAnsi="Symbol" w:hint="default"/>
        <w:b w:val="0"/>
        <w:i w:val="0"/>
        <w:color w:val="27AAE1" w:themeColor="accent1"/>
        <w:sz w:val="20"/>
      </w:rPr>
    </w:lvl>
    <w:lvl w:ilvl="6">
      <w:start w:val="1"/>
      <w:numFmt w:val="bullet"/>
      <w:pStyle w:val="Heading7"/>
      <w:lvlText w:val=""/>
      <w:lvlJc w:val="left"/>
      <w:pPr>
        <w:tabs>
          <w:tab w:val="num" w:pos="2160"/>
        </w:tabs>
        <w:ind w:left="2448" w:hanging="317"/>
      </w:pPr>
      <w:rPr>
        <w:rFonts w:ascii="Symbol" w:hAnsi="Symbol" w:hint="default"/>
        <w:color w:val="27AAE1" w:themeColor="accent1"/>
      </w:rPr>
    </w:lvl>
    <w:lvl w:ilvl="7">
      <w:start w:val="1"/>
      <w:numFmt w:val="bullet"/>
      <w:pStyle w:val="Heading8"/>
      <w:lvlText w:val=""/>
      <w:lvlJc w:val="left"/>
      <w:pPr>
        <w:tabs>
          <w:tab w:val="num" w:pos="25632"/>
        </w:tabs>
        <w:ind w:left="2736" w:hanging="288"/>
      </w:pPr>
      <w:rPr>
        <w:rFonts w:ascii="Symbol" w:hAnsi="Symbol" w:hint="default"/>
        <w:color w:val="27AAE1" w:themeColor="accent1"/>
      </w:rPr>
    </w:lvl>
    <w:lvl w:ilvl="8">
      <w:start w:val="1"/>
      <w:numFmt w:val="bullet"/>
      <w:pStyle w:val="Heading9"/>
      <w:lvlText w:val=""/>
      <w:lvlJc w:val="left"/>
      <w:pPr>
        <w:ind w:left="3168" w:hanging="360"/>
      </w:pPr>
      <w:rPr>
        <w:rFonts w:ascii="Symbol" w:hAnsi="Symbol" w:hint="default"/>
        <w:b w:val="0"/>
        <w:i w:val="0"/>
        <w:color w:val="27AAE1" w:themeColor="accent1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pStyle w:val="MarketingBullet"/>
        <w:lvlText w:val=""/>
        <w:lvlJc w:val="left"/>
        <w:pPr>
          <w:ind w:left="360" w:hanging="360"/>
        </w:pPr>
        <w:rPr>
          <w:rFonts w:ascii="Symbol" w:hAnsi="Symbol" w:hint="default"/>
          <w:color w:val="27AAE1" w:themeColor="accent1"/>
        </w:rPr>
      </w:lvl>
    </w:lvlOverride>
    <w:lvlOverride w:ilvl="1">
      <w:lvl w:ilvl="1">
        <w:start w:val="1"/>
        <w:numFmt w:val="bullet"/>
        <w:lvlRestart w:val="0"/>
        <w:pStyle w:val="MarketingBulletSub"/>
        <w:lvlText w:val=""/>
        <w:lvlJc w:val="left"/>
        <w:pPr>
          <w:ind w:left="720" w:hanging="360"/>
        </w:pPr>
        <w:rPr>
          <w:rFonts w:ascii="Symbol" w:hAnsi="Symbol" w:hint="default"/>
          <w:color w:val="27AAE1" w:themeColor="accent1"/>
        </w:rPr>
      </w:lvl>
    </w:lvlOverride>
    <w:lvlOverride w:ilvl="2">
      <w:lvl w:ilvl="2">
        <w:start w:val="1"/>
        <w:numFmt w:val="bullet"/>
        <w:lvlText w:val=""/>
        <w:lvlJc w:val="left"/>
        <w:pPr>
          <w:ind w:left="576" w:hanging="288"/>
        </w:pPr>
        <w:rPr>
          <w:rFonts w:ascii="Symbol" w:hAnsi="Symbol" w:hint="default"/>
          <w:color w:val="27AAE1" w:themeColor="accent1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72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3600" w:hanging="720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4320" w:hanging="720"/>
        </w:pPr>
        <w:rPr>
          <w:rFonts w:ascii="Symbol" w:hAnsi="Symbol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72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5760" w:hanging="72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6480" w:hanging="720"/>
        </w:pPr>
        <w:rPr>
          <w:rFonts w:ascii="Symbol" w:hAnsi="Symbol" w:hint="default"/>
        </w:rPr>
      </w:lvl>
    </w:lvlOverride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F4"/>
    <w:rsid w:val="00001D8D"/>
    <w:rsid w:val="00003E3E"/>
    <w:rsid w:val="00012D6D"/>
    <w:rsid w:val="000202D8"/>
    <w:rsid w:val="00020CCF"/>
    <w:rsid w:val="00050D6B"/>
    <w:rsid w:val="00055F7F"/>
    <w:rsid w:val="00064D4A"/>
    <w:rsid w:val="000652F1"/>
    <w:rsid w:val="00084648"/>
    <w:rsid w:val="0009175B"/>
    <w:rsid w:val="000D4618"/>
    <w:rsid w:val="000E5FD7"/>
    <w:rsid w:val="000F0540"/>
    <w:rsid w:val="000F5468"/>
    <w:rsid w:val="00106900"/>
    <w:rsid w:val="0011411C"/>
    <w:rsid w:val="00127315"/>
    <w:rsid w:val="001427B9"/>
    <w:rsid w:val="001538E6"/>
    <w:rsid w:val="00156CF5"/>
    <w:rsid w:val="001938CD"/>
    <w:rsid w:val="001B51BA"/>
    <w:rsid w:val="001F0280"/>
    <w:rsid w:val="00207098"/>
    <w:rsid w:val="0025273C"/>
    <w:rsid w:val="00264BFC"/>
    <w:rsid w:val="00272241"/>
    <w:rsid w:val="002A03BB"/>
    <w:rsid w:val="002A6721"/>
    <w:rsid w:val="002A72F3"/>
    <w:rsid w:val="002B293C"/>
    <w:rsid w:val="00305FA1"/>
    <w:rsid w:val="00326FA7"/>
    <w:rsid w:val="00342153"/>
    <w:rsid w:val="00342CF7"/>
    <w:rsid w:val="003666DF"/>
    <w:rsid w:val="003715BA"/>
    <w:rsid w:val="00373242"/>
    <w:rsid w:val="003A5DE7"/>
    <w:rsid w:val="003C78FE"/>
    <w:rsid w:val="003E2045"/>
    <w:rsid w:val="003E567B"/>
    <w:rsid w:val="00413052"/>
    <w:rsid w:val="004345D0"/>
    <w:rsid w:val="00455551"/>
    <w:rsid w:val="004642D1"/>
    <w:rsid w:val="0049032A"/>
    <w:rsid w:val="004B5E23"/>
    <w:rsid w:val="004E316D"/>
    <w:rsid w:val="00502F43"/>
    <w:rsid w:val="00515F50"/>
    <w:rsid w:val="00532BD8"/>
    <w:rsid w:val="005400BE"/>
    <w:rsid w:val="00564391"/>
    <w:rsid w:val="00564BC8"/>
    <w:rsid w:val="005749CD"/>
    <w:rsid w:val="0059058A"/>
    <w:rsid w:val="005B5DB4"/>
    <w:rsid w:val="005B63BD"/>
    <w:rsid w:val="005C0155"/>
    <w:rsid w:val="005C3B20"/>
    <w:rsid w:val="005E2143"/>
    <w:rsid w:val="00600BB9"/>
    <w:rsid w:val="0062160D"/>
    <w:rsid w:val="0062725D"/>
    <w:rsid w:val="006430B8"/>
    <w:rsid w:val="00657A28"/>
    <w:rsid w:val="006726FA"/>
    <w:rsid w:val="00674531"/>
    <w:rsid w:val="00696536"/>
    <w:rsid w:val="006C1DAD"/>
    <w:rsid w:val="006D079B"/>
    <w:rsid w:val="006E3D93"/>
    <w:rsid w:val="007355A1"/>
    <w:rsid w:val="00745083"/>
    <w:rsid w:val="0076171E"/>
    <w:rsid w:val="00762DDD"/>
    <w:rsid w:val="00772F82"/>
    <w:rsid w:val="007752BC"/>
    <w:rsid w:val="007840E9"/>
    <w:rsid w:val="007A2804"/>
    <w:rsid w:val="007B786C"/>
    <w:rsid w:val="007C0AEA"/>
    <w:rsid w:val="007C41FD"/>
    <w:rsid w:val="00824DE7"/>
    <w:rsid w:val="0083564B"/>
    <w:rsid w:val="008557FE"/>
    <w:rsid w:val="00861A63"/>
    <w:rsid w:val="008672B5"/>
    <w:rsid w:val="008A61DA"/>
    <w:rsid w:val="008C38EC"/>
    <w:rsid w:val="008D095D"/>
    <w:rsid w:val="008E61B1"/>
    <w:rsid w:val="008F76BB"/>
    <w:rsid w:val="00911037"/>
    <w:rsid w:val="009159FE"/>
    <w:rsid w:val="009311B5"/>
    <w:rsid w:val="00950E2A"/>
    <w:rsid w:val="00953F24"/>
    <w:rsid w:val="00960F47"/>
    <w:rsid w:val="00973299"/>
    <w:rsid w:val="00973588"/>
    <w:rsid w:val="00974ECC"/>
    <w:rsid w:val="00983067"/>
    <w:rsid w:val="00986657"/>
    <w:rsid w:val="009918C0"/>
    <w:rsid w:val="009C7D9B"/>
    <w:rsid w:val="009D6FFA"/>
    <w:rsid w:val="009F4458"/>
    <w:rsid w:val="00A00CF7"/>
    <w:rsid w:val="00A02952"/>
    <w:rsid w:val="00A06579"/>
    <w:rsid w:val="00A10622"/>
    <w:rsid w:val="00A14FD3"/>
    <w:rsid w:val="00A350DF"/>
    <w:rsid w:val="00A37CA7"/>
    <w:rsid w:val="00A433FB"/>
    <w:rsid w:val="00A43A34"/>
    <w:rsid w:val="00A50CC9"/>
    <w:rsid w:val="00A5742B"/>
    <w:rsid w:val="00A60C8D"/>
    <w:rsid w:val="00A87156"/>
    <w:rsid w:val="00A92202"/>
    <w:rsid w:val="00AA5ED5"/>
    <w:rsid w:val="00AA6F63"/>
    <w:rsid w:val="00AB0AC1"/>
    <w:rsid w:val="00AB58A0"/>
    <w:rsid w:val="00AD3396"/>
    <w:rsid w:val="00AD37EA"/>
    <w:rsid w:val="00AE09B1"/>
    <w:rsid w:val="00AF3C7E"/>
    <w:rsid w:val="00AF517E"/>
    <w:rsid w:val="00B30A17"/>
    <w:rsid w:val="00B317F4"/>
    <w:rsid w:val="00B63A5C"/>
    <w:rsid w:val="00B64C97"/>
    <w:rsid w:val="00B64D23"/>
    <w:rsid w:val="00BB383E"/>
    <w:rsid w:val="00BB4D80"/>
    <w:rsid w:val="00BD0666"/>
    <w:rsid w:val="00BD4799"/>
    <w:rsid w:val="00BD78E8"/>
    <w:rsid w:val="00BE268B"/>
    <w:rsid w:val="00BE6E36"/>
    <w:rsid w:val="00C031EB"/>
    <w:rsid w:val="00C13123"/>
    <w:rsid w:val="00C14EFF"/>
    <w:rsid w:val="00C47CA0"/>
    <w:rsid w:val="00C551B8"/>
    <w:rsid w:val="00C670FA"/>
    <w:rsid w:val="00C90C01"/>
    <w:rsid w:val="00CC60B7"/>
    <w:rsid w:val="00CC731B"/>
    <w:rsid w:val="00CC771C"/>
    <w:rsid w:val="00CF19CB"/>
    <w:rsid w:val="00CF2D2C"/>
    <w:rsid w:val="00D13EBF"/>
    <w:rsid w:val="00D336DD"/>
    <w:rsid w:val="00D533B9"/>
    <w:rsid w:val="00D64814"/>
    <w:rsid w:val="00D754A5"/>
    <w:rsid w:val="00DA0703"/>
    <w:rsid w:val="00DA3BE4"/>
    <w:rsid w:val="00DB596F"/>
    <w:rsid w:val="00DC6422"/>
    <w:rsid w:val="00DD4767"/>
    <w:rsid w:val="00DE7CCB"/>
    <w:rsid w:val="00E43A2D"/>
    <w:rsid w:val="00EA3B1B"/>
    <w:rsid w:val="00EA5374"/>
    <w:rsid w:val="00EB4B93"/>
    <w:rsid w:val="00EB7257"/>
    <w:rsid w:val="00EC5AAF"/>
    <w:rsid w:val="00ED3F03"/>
    <w:rsid w:val="00EE50A0"/>
    <w:rsid w:val="00EE5262"/>
    <w:rsid w:val="00EF0DF2"/>
    <w:rsid w:val="00EF3CA7"/>
    <w:rsid w:val="00F06D8D"/>
    <w:rsid w:val="00F11AAC"/>
    <w:rsid w:val="00F13905"/>
    <w:rsid w:val="00F2068F"/>
    <w:rsid w:val="00F25B1D"/>
    <w:rsid w:val="00F2670F"/>
    <w:rsid w:val="00F272FB"/>
    <w:rsid w:val="00F416AE"/>
    <w:rsid w:val="00F47095"/>
    <w:rsid w:val="00F732B7"/>
    <w:rsid w:val="00F7333F"/>
    <w:rsid w:val="00F7651C"/>
    <w:rsid w:val="00F81CF7"/>
    <w:rsid w:val="00F849E4"/>
    <w:rsid w:val="00F85868"/>
    <w:rsid w:val="00F8709B"/>
    <w:rsid w:val="00F875A3"/>
    <w:rsid w:val="00F91E46"/>
    <w:rsid w:val="00F924B8"/>
    <w:rsid w:val="00FB0D1B"/>
    <w:rsid w:val="00FC7ADA"/>
    <w:rsid w:val="00FD2F1E"/>
    <w:rsid w:val="00FE1B84"/>
    <w:rsid w:val="00FE4464"/>
    <w:rsid w:val="00FE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09D65D"/>
  <w15:docId w15:val="{AA827A26-DB3F-449D-A102-AF82318B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8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986657"/>
    <w:pPr>
      <w:adjustRightInd w:val="0"/>
      <w:snapToGrid w:val="0"/>
      <w:spacing w:before="120" w:after="120"/>
    </w:pPr>
    <w:rPr>
      <w:rFonts w:ascii="Arial" w:eastAsia="MS Mincho" w:hAnsi="Arial" w:cs="Times New Roman"/>
      <w:sz w:val="20"/>
      <w:szCs w:val="24"/>
      <w:lang w:eastAsia="ja-JP"/>
    </w:rPr>
  </w:style>
  <w:style w:type="paragraph" w:styleId="Heading1">
    <w:name w:val="heading 1"/>
    <w:basedOn w:val="Normal"/>
    <w:link w:val="Heading1Char"/>
    <w:uiPriority w:val="9"/>
    <w:semiHidden/>
    <w:qFormat/>
    <w:rsid w:val="00CF19CB"/>
    <w:pPr>
      <w:numPr>
        <w:numId w:val="3"/>
      </w:numPr>
      <w:adjustRightInd/>
      <w:snapToGrid/>
      <w:outlineLvl w:val="0"/>
    </w:pPr>
    <w:rPr>
      <w:rFonts w:eastAsiaTheme="majorEastAsia" w:cstheme="majorBidi"/>
      <w:bCs/>
      <w:szCs w:val="28"/>
      <w:lang w:eastAsia="en-US"/>
    </w:rPr>
  </w:style>
  <w:style w:type="paragraph" w:styleId="Heading2">
    <w:name w:val="heading 2"/>
    <w:basedOn w:val="Normal"/>
    <w:link w:val="Heading2Char"/>
    <w:uiPriority w:val="9"/>
    <w:semiHidden/>
    <w:qFormat/>
    <w:rsid w:val="00CF19CB"/>
    <w:pPr>
      <w:numPr>
        <w:ilvl w:val="1"/>
        <w:numId w:val="3"/>
      </w:numPr>
      <w:adjustRightInd/>
      <w:snapToGrid/>
      <w:outlineLvl w:val="1"/>
    </w:pPr>
    <w:rPr>
      <w:rFonts w:eastAsiaTheme="majorEastAsia" w:cstheme="majorBidi"/>
      <w:bCs/>
      <w:szCs w:val="26"/>
      <w:lang w:eastAsia="en-US"/>
    </w:rPr>
  </w:style>
  <w:style w:type="paragraph" w:styleId="Heading3">
    <w:name w:val="heading 3"/>
    <w:basedOn w:val="Normal"/>
    <w:link w:val="Heading3Char"/>
    <w:uiPriority w:val="9"/>
    <w:semiHidden/>
    <w:qFormat/>
    <w:rsid w:val="00CF19CB"/>
    <w:pPr>
      <w:numPr>
        <w:ilvl w:val="2"/>
        <w:numId w:val="3"/>
      </w:numPr>
      <w:adjustRightInd/>
      <w:snapToGrid/>
      <w:spacing w:line="281" w:lineRule="auto"/>
      <w:outlineLvl w:val="2"/>
    </w:pPr>
    <w:rPr>
      <w:rFonts w:eastAsiaTheme="majorEastAsia" w:cstheme="majorBidi"/>
      <w:bCs/>
      <w:szCs w:val="22"/>
      <w:lang w:eastAsia="en-US"/>
    </w:rPr>
  </w:style>
  <w:style w:type="paragraph" w:styleId="Heading4">
    <w:name w:val="heading 4"/>
    <w:basedOn w:val="Normal"/>
    <w:link w:val="Heading4Char"/>
    <w:uiPriority w:val="9"/>
    <w:semiHidden/>
    <w:qFormat/>
    <w:rsid w:val="00CF19CB"/>
    <w:pPr>
      <w:numPr>
        <w:ilvl w:val="3"/>
        <w:numId w:val="3"/>
      </w:numPr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link w:val="Heading5Char"/>
    <w:uiPriority w:val="9"/>
    <w:semiHidden/>
    <w:qFormat/>
    <w:rsid w:val="00CF19CB"/>
    <w:pPr>
      <w:numPr>
        <w:ilvl w:val="4"/>
        <w:numId w:val="3"/>
      </w:numPr>
      <w:spacing w:line="280" w:lineRule="auto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semiHidden/>
    <w:qFormat/>
    <w:rsid w:val="00CF19CB"/>
    <w:pPr>
      <w:numPr>
        <w:ilvl w:val="5"/>
        <w:numId w:val="3"/>
      </w:numPr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link w:val="Heading7Char"/>
    <w:uiPriority w:val="9"/>
    <w:semiHidden/>
    <w:qFormat/>
    <w:rsid w:val="00CF19CB"/>
    <w:pPr>
      <w:numPr>
        <w:ilvl w:val="6"/>
        <w:numId w:val="3"/>
      </w:numPr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link w:val="Heading8Char"/>
    <w:uiPriority w:val="9"/>
    <w:semiHidden/>
    <w:qFormat/>
    <w:rsid w:val="00CF19CB"/>
    <w:pPr>
      <w:numPr>
        <w:ilvl w:val="7"/>
        <w:numId w:val="3"/>
      </w:numPr>
      <w:outlineLvl w:val="7"/>
    </w:pPr>
    <w:rPr>
      <w:rFonts w:eastAsiaTheme="majorEastAsia" w:cstheme="majorBidi"/>
      <w:szCs w:val="21"/>
    </w:rPr>
  </w:style>
  <w:style w:type="paragraph" w:styleId="Heading9">
    <w:name w:val="heading 9"/>
    <w:basedOn w:val="Normal"/>
    <w:link w:val="Heading9Char"/>
    <w:uiPriority w:val="9"/>
    <w:semiHidden/>
    <w:qFormat/>
    <w:rsid w:val="00CF19CB"/>
    <w:pPr>
      <w:keepNext/>
      <w:keepLines/>
      <w:numPr>
        <w:ilvl w:val="8"/>
        <w:numId w:val="3"/>
      </w:numPr>
      <w:spacing w:before="40" w:after="0"/>
      <w:outlineLvl w:val="8"/>
    </w:pPr>
    <w:rPr>
      <w:rFonts w:eastAsiaTheme="majorEastAsia" w:cstheme="majorBidi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F19CB"/>
    <w:pPr>
      <w:tabs>
        <w:tab w:val="center" w:pos="4680"/>
        <w:tab w:val="right" w:pos="9360"/>
      </w:tabs>
      <w:adjustRightInd/>
      <w:snapToGrid/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arketingBase">
    <w:name w:val="Marketing Base"/>
    <w:semiHidden/>
    <w:rsid w:val="00CF19CB"/>
    <w:pPr>
      <w:spacing w:before="120" w:after="120" w:line="360" w:lineRule="auto"/>
    </w:pPr>
    <w:rPr>
      <w:rFonts w:ascii="Arial" w:hAnsi="Arial"/>
      <w:sz w:val="20"/>
    </w:rPr>
  </w:style>
  <w:style w:type="paragraph" w:customStyle="1" w:styleId="MarketingBody">
    <w:name w:val="Marketing Body"/>
    <w:basedOn w:val="MarketingBase"/>
    <w:link w:val="MarketingBodyChar"/>
    <w:uiPriority w:val="1"/>
    <w:qFormat/>
    <w:rsid w:val="00CF19CB"/>
    <w:pPr>
      <w:spacing w:line="276" w:lineRule="auto"/>
    </w:pPr>
  </w:style>
  <w:style w:type="paragraph" w:customStyle="1" w:styleId="MarketingBodyBlock">
    <w:name w:val="Marketing BodyBlock"/>
    <w:basedOn w:val="MarketingBody"/>
    <w:uiPriority w:val="1"/>
    <w:qFormat/>
    <w:rsid w:val="00CF19CB"/>
    <w:pPr>
      <w:ind w:left="720" w:right="720"/>
    </w:pPr>
  </w:style>
  <w:style w:type="paragraph" w:customStyle="1" w:styleId="MarketingBullet">
    <w:name w:val="Marketing Bullet"/>
    <w:basedOn w:val="Normal"/>
    <w:uiPriority w:val="16"/>
    <w:qFormat/>
    <w:rsid w:val="00CF19CB"/>
    <w:pPr>
      <w:numPr>
        <w:numId w:val="2"/>
      </w:numPr>
      <w:adjustRightInd/>
      <w:snapToGrid/>
      <w:ind w:left="270" w:hanging="270"/>
      <w:textboxTightWrap w:val="allLines"/>
    </w:pPr>
    <w:rPr>
      <w:rFonts w:eastAsia="Times New Roman" w:cs="Arial"/>
      <w:szCs w:val="20"/>
      <w:lang w:eastAsia="en-US"/>
    </w:rPr>
  </w:style>
  <w:style w:type="paragraph" w:customStyle="1" w:styleId="MarketingBulletSub">
    <w:name w:val="Marketing BulletSub"/>
    <w:basedOn w:val="Normal"/>
    <w:uiPriority w:val="18"/>
    <w:qFormat/>
    <w:rsid w:val="00CF19CB"/>
    <w:pPr>
      <w:numPr>
        <w:ilvl w:val="1"/>
        <w:numId w:val="2"/>
      </w:numPr>
      <w:adjustRightInd/>
      <w:snapToGrid/>
      <w:ind w:left="630" w:hanging="270"/>
      <w:textboxTightWrap w:val="allLines"/>
    </w:pPr>
    <w:rPr>
      <w:rFonts w:eastAsia="Times New Roman" w:cs="Arial"/>
      <w:szCs w:val="20"/>
      <w:lang w:eastAsia="en-US"/>
    </w:rPr>
  </w:style>
  <w:style w:type="paragraph" w:customStyle="1" w:styleId="MarketingHeading1">
    <w:name w:val="Marketing Heading 1"/>
    <w:basedOn w:val="MarketingBase"/>
    <w:next w:val="MarketingBody"/>
    <w:uiPriority w:val="9"/>
    <w:qFormat/>
    <w:rsid w:val="00CF19CB"/>
    <w:pPr>
      <w:pBdr>
        <w:bottom w:val="single" w:sz="12" w:space="1" w:color="002856" w:themeColor="text1"/>
      </w:pBdr>
      <w:spacing w:before="240" w:line="240" w:lineRule="auto"/>
    </w:pPr>
    <w:rPr>
      <w:color w:val="002856" w:themeColor="text1"/>
      <w:sz w:val="40"/>
    </w:rPr>
  </w:style>
  <w:style w:type="paragraph" w:customStyle="1" w:styleId="MarketingHeading2">
    <w:name w:val="Marketing Heading 2"/>
    <w:basedOn w:val="MarketingBase"/>
    <w:next w:val="MarketingBody"/>
    <w:uiPriority w:val="9"/>
    <w:qFormat/>
    <w:rsid w:val="00CF19CB"/>
    <w:pPr>
      <w:spacing w:before="240" w:after="60" w:line="240" w:lineRule="auto"/>
    </w:pPr>
    <w:rPr>
      <w:rFonts w:cs="Arial"/>
      <w:b/>
      <w:color w:val="004F8E" w:themeColor="accent2"/>
      <w:sz w:val="32"/>
    </w:rPr>
  </w:style>
  <w:style w:type="paragraph" w:customStyle="1" w:styleId="MarketingHeading2B">
    <w:name w:val="Marketing Heading 2B"/>
    <w:basedOn w:val="MarketingBase"/>
    <w:next w:val="MarketingBody"/>
    <w:uiPriority w:val="1"/>
    <w:semiHidden/>
    <w:rsid w:val="00CF19CB"/>
    <w:pPr>
      <w:spacing w:before="240" w:after="60" w:line="240" w:lineRule="auto"/>
    </w:pPr>
    <w:rPr>
      <w:rFonts w:ascii="Trebuchet MS" w:hAnsi="Trebuchet MS"/>
      <w:b/>
      <w:color w:val="133362"/>
      <w:sz w:val="28"/>
    </w:rPr>
  </w:style>
  <w:style w:type="paragraph" w:customStyle="1" w:styleId="MarketingHeading3">
    <w:name w:val="Marketing Heading 3"/>
    <w:basedOn w:val="MarketingBase"/>
    <w:next w:val="MarketingBody"/>
    <w:uiPriority w:val="9"/>
    <w:qFormat/>
    <w:rsid w:val="0009175B"/>
    <w:pPr>
      <w:spacing w:before="240" w:after="60" w:line="240" w:lineRule="auto"/>
    </w:pPr>
    <w:rPr>
      <w:rFonts w:cs="Arial"/>
      <w:b/>
      <w:color w:val="27AAE1" w:themeColor="accent1"/>
      <w:sz w:val="28"/>
    </w:rPr>
  </w:style>
  <w:style w:type="paragraph" w:customStyle="1" w:styleId="MarketingHeading3B">
    <w:name w:val="Marketing Heading 3B"/>
    <w:basedOn w:val="MarketingBase"/>
    <w:next w:val="MarketingBody"/>
    <w:uiPriority w:val="1"/>
    <w:semiHidden/>
    <w:rsid w:val="00CF19CB"/>
    <w:pPr>
      <w:spacing w:before="240" w:after="60" w:line="240" w:lineRule="auto"/>
    </w:pPr>
    <w:rPr>
      <w:rFonts w:ascii="Trebuchet MS" w:hAnsi="Trebuchet MS"/>
      <w:b/>
      <w:i/>
      <w:color w:val="365FB9"/>
      <w:sz w:val="24"/>
    </w:rPr>
  </w:style>
  <w:style w:type="paragraph" w:customStyle="1" w:styleId="MarketingHeading4">
    <w:name w:val="Marketing Heading 4"/>
    <w:basedOn w:val="MarketingBase"/>
    <w:next w:val="MarketingBody"/>
    <w:uiPriority w:val="9"/>
    <w:qFormat/>
    <w:rsid w:val="00CF19CB"/>
    <w:pPr>
      <w:spacing w:before="240" w:after="60" w:line="240" w:lineRule="auto"/>
    </w:pPr>
    <w:rPr>
      <w:rFonts w:cs="Arial"/>
      <w:b/>
      <w:color w:val="773377" w:themeColor="accent3"/>
      <w:sz w:val="24"/>
    </w:rPr>
  </w:style>
  <w:style w:type="paragraph" w:customStyle="1" w:styleId="MarketingTitle">
    <w:name w:val="Marketing Title"/>
    <w:basedOn w:val="MarketingBase"/>
    <w:next w:val="MarketingTOC"/>
    <w:uiPriority w:val="39"/>
    <w:qFormat/>
    <w:rsid w:val="00CF19CB"/>
    <w:pPr>
      <w:spacing w:before="0" w:after="240" w:line="240" w:lineRule="auto"/>
      <w:jc w:val="center"/>
    </w:pPr>
    <w:rPr>
      <w:b/>
      <w:sz w:val="36"/>
    </w:rPr>
  </w:style>
  <w:style w:type="paragraph" w:customStyle="1" w:styleId="MarketingTOC">
    <w:name w:val="Marketing TOC"/>
    <w:basedOn w:val="MarketingBase"/>
    <w:next w:val="MarketingBody"/>
    <w:uiPriority w:val="39"/>
    <w:rsid w:val="00CF19CB"/>
    <w:pPr>
      <w:jc w:val="center"/>
    </w:pPr>
    <w:rPr>
      <w:b/>
      <w:color w:val="808080"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F19CB"/>
  </w:style>
  <w:style w:type="paragraph" w:styleId="Footer">
    <w:name w:val="footer"/>
    <w:basedOn w:val="Normal"/>
    <w:link w:val="FooterChar"/>
    <w:uiPriority w:val="99"/>
    <w:semiHidden/>
    <w:rsid w:val="00CF19CB"/>
    <w:pPr>
      <w:tabs>
        <w:tab w:val="center" w:pos="4680"/>
        <w:tab w:val="right" w:pos="9360"/>
      </w:tabs>
      <w:adjustRightInd/>
      <w:snapToGrid/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F19CB"/>
  </w:style>
  <w:style w:type="paragraph" w:styleId="BalloonText">
    <w:name w:val="Balloon Text"/>
    <w:basedOn w:val="Normal"/>
    <w:link w:val="BalloonTextChar"/>
    <w:uiPriority w:val="99"/>
    <w:semiHidden/>
    <w:rsid w:val="00CF19CB"/>
    <w:pPr>
      <w:adjustRightInd/>
      <w:snapToGrid/>
      <w:spacing w:before="0"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9CB"/>
    <w:rPr>
      <w:rFonts w:ascii="Tahoma" w:hAnsi="Tahoma" w:cs="Tahoma"/>
      <w:sz w:val="16"/>
      <w:szCs w:val="16"/>
    </w:rPr>
  </w:style>
  <w:style w:type="paragraph" w:customStyle="1" w:styleId="MarketingFooter">
    <w:name w:val="Marketing Footer"/>
    <w:basedOn w:val="MarketingBase"/>
    <w:link w:val="MarketingFooterChar"/>
    <w:uiPriority w:val="99"/>
    <w:rsid w:val="00CF19CB"/>
    <w:pPr>
      <w:jc w:val="right"/>
    </w:pPr>
    <w:rPr>
      <w:rFonts w:cs="Arial"/>
      <w:color w:val="002856" w:themeColor="text1"/>
      <w:sz w:val="18"/>
    </w:rPr>
  </w:style>
  <w:style w:type="character" w:customStyle="1" w:styleId="MarketingFooterChar">
    <w:name w:val="Marketing Footer Char"/>
    <w:basedOn w:val="FooterChar"/>
    <w:link w:val="MarketingFooter"/>
    <w:uiPriority w:val="99"/>
    <w:rsid w:val="00CF19CB"/>
    <w:rPr>
      <w:rFonts w:ascii="Arial" w:hAnsi="Arial" w:cs="Arial"/>
      <w:color w:val="002856" w:themeColor="text1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7C41FD"/>
    <w:rPr>
      <w:rFonts w:ascii="Arial" w:eastAsiaTheme="majorEastAsia" w:hAnsi="Arial" w:cstheme="majorBidi"/>
      <w:bCs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41FD"/>
    <w:rPr>
      <w:rFonts w:ascii="Arial" w:eastAsiaTheme="majorEastAsia" w:hAnsi="Arial" w:cstheme="majorBidi"/>
      <w:bCs/>
      <w:sz w:val="20"/>
      <w:szCs w:val="26"/>
    </w:rPr>
  </w:style>
  <w:style w:type="paragraph" w:customStyle="1" w:styleId="MarketingFootnoteEndnote">
    <w:name w:val="Marketing Footnote_Endnote"/>
    <w:basedOn w:val="MarketingBody"/>
    <w:uiPriority w:val="99"/>
    <w:rsid w:val="00CF19CB"/>
    <w:pPr>
      <w:spacing w:line="240" w:lineRule="auto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41FD"/>
    <w:rPr>
      <w:rFonts w:ascii="Arial" w:eastAsiaTheme="majorEastAsia" w:hAnsi="Arial" w:cstheme="majorBidi"/>
      <w:bCs/>
      <w:sz w:val="20"/>
    </w:rPr>
  </w:style>
  <w:style w:type="character" w:styleId="Hyperlink">
    <w:name w:val="Hyperlink"/>
    <w:basedOn w:val="DefaultParagraphFont"/>
    <w:uiPriority w:val="99"/>
    <w:unhideWhenUsed/>
    <w:rsid w:val="00CF19CB"/>
    <w:rPr>
      <w:color w:val="0563C1" w:themeColor="hyperlink"/>
      <w:u w:val="single"/>
    </w:rPr>
  </w:style>
  <w:style w:type="paragraph" w:styleId="TOC1">
    <w:name w:val="toc 1"/>
    <w:basedOn w:val="Normal"/>
    <w:next w:val="Normal"/>
    <w:uiPriority w:val="39"/>
    <w:rsid w:val="00CF19CB"/>
    <w:pPr>
      <w:tabs>
        <w:tab w:val="right" w:leader="dot" w:pos="9360"/>
      </w:tabs>
      <w:spacing w:after="100"/>
    </w:pPr>
  </w:style>
  <w:style w:type="paragraph" w:styleId="TOC2">
    <w:name w:val="toc 2"/>
    <w:basedOn w:val="Normal"/>
    <w:next w:val="Normal"/>
    <w:uiPriority w:val="39"/>
    <w:rsid w:val="00CF19CB"/>
    <w:pPr>
      <w:tabs>
        <w:tab w:val="right" w:leader="dot" w:pos="9360"/>
      </w:tabs>
      <w:spacing w:after="100"/>
      <w:ind w:left="220"/>
    </w:pPr>
    <w:rPr>
      <w:noProof/>
    </w:rPr>
  </w:style>
  <w:style w:type="paragraph" w:styleId="TOC3">
    <w:name w:val="toc 3"/>
    <w:basedOn w:val="Normal"/>
    <w:next w:val="Normal"/>
    <w:uiPriority w:val="39"/>
    <w:rsid w:val="00CF19CB"/>
    <w:pPr>
      <w:tabs>
        <w:tab w:val="right" w:leader="dot" w:pos="9360"/>
      </w:tabs>
      <w:spacing w:after="100"/>
      <w:ind w:left="440"/>
    </w:pPr>
  </w:style>
  <w:style w:type="paragraph" w:styleId="TOC4">
    <w:name w:val="toc 4"/>
    <w:basedOn w:val="Normal"/>
    <w:next w:val="Normal"/>
    <w:uiPriority w:val="39"/>
    <w:rsid w:val="00CF19CB"/>
    <w:pPr>
      <w:tabs>
        <w:tab w:val="right" w:leader="dot" w:pos="9360"/>
      </w:tabs>
      <w:spacing w:after="100"/>
      <w:ind w:left="660"/>
    </w:pPr>
  </w:style>
  <w:style w:type="character" w:styleId="Emphasis">
    <w:name w:val="Emphasis"/>
    <w:basedOn w:val="DefaultParagraphFont"/>
    <w:uiPriority w:val="20"/>
    <w:qFormat/>
    <w:rsid w:val="00CF19CB"/>
    <w:rPr>
      <w:rFonts w:ascii="Arial" w:hAnsi="Arial"/>
      <w:i/>
      <w:iCs/>
      <w:color w:val="773377" w:themeColor="accent3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CF19CB"/>
    <w:pPr>
      <w:adjustRightInd/>
      <w:snapToGrid/>
      <w:spacing w:before="200" w:after="160"/>
      <w:ind w:left="864" w:right="864"/>
      <w:jc w:val="center"/>
    </w:pPr>
    <w:rPr>
      <w:rFonts w:eastAsiaTheme="minorHAnsi" w:cstheme="minorBidi"/>
      <w:i/>
      <w:iCs/>
      <w:color w:val="773377" w:themeColor="accent3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CF19CB"/>
    <w:rPr>
      <w:rFonts w:ascii="Arial" w:hAnsi="Arial"/>
      <w:i/>
      <w:iCs/>
      <w:color w:val="773377" w:themeColor="accent3"/>
    </w:rPr>
  </w:style>
  <w:style w:type="character" w:styleId="Strong">
    <w:name w:val="Strong"/>
    <w:basedOn w:val="DefaultParagraphFont"/>
    <w:uiPriority w:val="22"/>
    <w:qFormat/>
    <w:rsid w:val="00CF19CB"/>
    <w:rPr>
      <w:rFonts w:ascii="Arial" w:hAnsi="Arial"/>
      <w:b/>
      <w:bCs/>
      <w:i/>
      <w:color w:val="27AAE1" w:themeColor="accent1"/>
      <w:sz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CF19CB"/>
    <w:pPr>
      <w:numPr>
        <w:ilvl w:val="1"/>
      </w:numPr>
      <w:adjustRightInd/>
      <w:snapToGrid/>
      <w:spacing w:before="0" w:after="160"/>
    </w:pPr>
    <w:rPr>
      <w:rFonts w:eastAsiaTheme="minorEastAsia" w:cstheme="minorBidi"/>
      <w:b/>
      <w:color w:val="004F8E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F19CB"/>
    <w:rPr>
      <w:rFonts w:ascii="Arial" w:eastAsiaTheme="minorEastAsia" w:hAnsi="Arial"/>
      <w:b/>
      <w:color w:val="004F8E"/>
      <w:spacing w:val="15"/>
    </w:rPr>
  </w:style>
  <w:style w:type="character" w:styleId="SubtleEmphasis">
    <w:name w:val="Subtle Emphasis"/>
    <w:basedOn w:val="DefaultParagraphFont"/>
    <w:uiPriority w:val="19"/>
    <w:qFormat/>
    <w:rsid w:val="00CF19CB"/>
    <w:rPr>
      <w:rFonts w:ascii="Arial" w:hAnsi="Arial"/>
      <w:b w:val="0"/>
      <w:i/>
      <w:iCs/>
      <w:color w:val="004F8E" w:themeColor="accent2"/>
      <w:sz w:val="20"/>
    </w:rPr>
  </w:style>
  <w:style w:type="character" w:styleId="SubtleReference">
    <w:name w:val="Subtle Reference"/>
    <w:basedOn w:val="DefaultParagraphFont"/>
    <w:uiPriority w:val="31"/>
    <w:qFormat/>
    <w:rsid w:val="00CF19CB"/>
    <w:rPr>
      <w:rFonts w:ascii="Arial" w:hAnsi="Arial"/>
      <w:smallCaps/>
      <w:color w:val="004F8E" w:themeColor="accent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9CB"/>
    <w:pPr>
      <w:pBdr>
        <w:top w:val="single" w:sz="4" w:space="6" w:color="27AAE1" w:themeColor="accent1"/>
        <w:bottom w:val="single" w:sz="4" w:space="6" w:color="27AAE1" w:themeColor="accent1"/>
      </w:pBdr>
      <w:adjustRightInd/>
      <w:snapToGrid/>
      <w:spacing w:before="360" w:after="360"/>
      <w:ind w:left="864" w:right="864"/>
      <w:jc w:val="center"/>
    </w:pPr>
    <w:rPr>
      <w:rFonts w:eastAsiaTheme="minorHAnsi" w:cstheme="minorBidi"/>
      <w:b/>
      <w:i/>
      <w:iCs/>
      <w:color w:val="773377" w:themeColor="accent3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9CB"/>
    <w:rPr>
      <w:rFonts w:ascii="Arial" w:hAnsi="Arial"/>
      <w:b/>
      <w:i/>
      <w:iCs/>
      <w:color w:val="773377" w:themeColor="accent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41FD"/>
    <w:rPr>
      <w:rFonts w:ascii="Arial" w:eastAsiaTheme="majorEastAsia" w:hAnsi="Arial" w:cstheme="majorBidi"/>
      <w:iCs/>
      <w:sz w:val="20"/>
      <w:szCs w:val="2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41FD"/>
    <w:rPr>
      <w:rFonts w:ascii="Arial" w:eastAsiaTheme="majorEastAsia" w:hAnsi="Arial" w:cstheme="majorBidi"/>
      <w:sz w:val="20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41FD"/>
    <w:rPr>
      <w:rFonts w:ascii="Arial" w:eastAsiaTheme="majorEastAsia" w:hAnsi="Arial" w:cstheme="majorBidi"/>
      <w:sz w:val="20"/>
      <w:szCs w:val="24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41FD"/>
    <w:rPr>
      <w:rFonts w:ascii="Arial" w:eastAsiaTheme="majorEastAsia" w:hAnsi="Arial" w:cstheme="majorBidi"/>
      <w:iCs/>
      <w:sz w:val="20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41FD"/>
    <w:rPr>
      <w:rFonts w:ascii="Arial" w:eastAsiaTheme="majorEastAsia" w:hAnsi="Arial" w:cstheme="majorBidi"/>
      <w:sz w:val="20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41FD"/>
    <w:rPr>
      <w:rFonts w:ascii="Arial" w:eastAsiaTheme="majorEastAsia" w:hAnsi="Arial" w:cstheme="majorBidi"/>
      <w:iCs/>
      <w:sz w:val="20"/>
      <w:szCs w:val="21"/>
      <w:lang w:eastAsia="ja-JP"/>
    </w:rPr>
  </w:style>
  <w:style w:type="paragraph" w:styleId="NoSpacing">
    <w:name w:val="No Spacing"/>
    <w:uiPriority w:val="1"/>
    <w:semiHidden/>
    <w:qFormat/>
    <w:rsid w:val="00CF19CB"/>
    <w:pPr>
      <w:adjustRightInd w:val="0"/>
      <w:snapToGrid w:val="0"/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CF19CB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CF19CB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styleId="BookTitle">
    <w:name w:val="Book Title"/>
    <w:basedOn w:val="DefaultParagraphFont"/>
    <w:uiPriority w:val="33"/>
    <w:semiHidden/>
    <w:qFormat/>
    <w:rsid w:val="00CF19CB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semiHidden/>
    <w:qFormat/>
    <w:rsid w:val="00CF19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19CB"/>
    <w:rPr>
      <w:rFonts w:ascii="Arial" w:hAnsi="Arial"/>
      <w:i/>
      <w:iCs/>
      <w:color w:val="27AAE1" w:themeColor="accent1"/>
      <w:sz w:val="20"/>
    </w:rPr>
  </w:style>
  <w:style w:type="character" w:styleId="IntenseReference">
    <w:name w:val="Intense Reference"/>
    <w:basedOn w:val="DefaultParagraphFont"/>
    <w:uiPriority w:val="32"/>
    <w:qFormat/>
    <w:rsid w:val="00CF19CB"/>
    <w:rPr>
      <w:rFonts w:ascii="Arial" w:hAnsi="Arial"/>
      <w:b/>
      <w:bCs/>
      <w:smallCaps/>
      <w:color w:val="27AAE1" w:themeColor="accent1"/>
      <w:spacing w:val="5"/>
      <w:sz w:val="20"/>
    </w:rPr>
  </w:style>
  <w:style w:type="paragraph" w:customStyle="1" w:styleId="MarketingBulletContinue">
    <w:name w:val="Marketing Bullet Continue"/>
    <w:basedOn w:val="Normal"/>
    <w:uiPriority w:val="16"/>
    <w:semiHidden/>
    <w:qFormat/>
    <w:rsid w:val="00CF19CB"/>
    <w:pPr>
      <w:suppressAutoHyphens/>
      <w:ind w:left="270"/>
      <w:textboxTightWrap w:val="allLines"/>
    </w:pPr>
  </w:style>
  <w:style w:type="paragraph" w:customStyle="1" w:styleId="MarketingBulletSubContinue">
    <w:name w:val="Marketing BulletSub Continue"/>
    <w:basedOn w:val="Normal"/>
    <w:uiPriority w:val="18"/>
    <w:semiHidden/>
    <w:qFormat/>
    <w:rsid w:val="00CF19CB"/>
    <w:pPr>
      <w:suppressAutoHyphens/>
      <w:ind w:left="720"/>
      <w:textboxTightWrap w:val="allLines"/>
    </w:pPr>
  </w:style>
  <w:style w:type="table" w:customStyle="1" w:styleId="PlainTableNoBorders">
    <w:name w:val="Plain Table No Borders"/>
    <w:basedOn w:val="TableNormal"/>
    <w:uiPriority w:val="99"/>
    <w:rsid w:val="00CF1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NoBorders0LeftCellMargin">
    <w:name w:val="No Borders 0 Left Cell Margin"/>
    <w:basedOn w:val="TableNormal"/>
    <w:uiPriority w:val="99"/>
    <w:rsid w:val="00CF1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cPr>
      <w:tcMar>
        <w:left w:w="0" w:type="dxa"/>
        <w:right w:w="115" w:type="dxa"/>
      </w:tcMar>
    </w:tcPr>
  </w:style>
  <w:style w:type="table" w:styleId="TableGrid">
    <w:name w:val="Table Grid"/>
    <w:basedOn w:val="TableNormal"/>
    <w:uiPriority w:val="59"/>
    <w:semiHidden/>
    <w:rsid w:val="00CF1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F19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F19C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F19CB"/>
    <w:pPr>
      <w:spacing w:after="0" w:line="240" w:lineRule="auto"/>
    </w:pPr>
    <w:tblPr>
      <w:tblStyleRowBandSize w:val="1"/>
      <w:tblStyleColBandSize w:val="1"/>
      <w:tblBorders>
        <w:top w:val="single" w:sz="4" w:space="0" w:color="2A8CFF" w:themeColor="text1" w:themeTint="80"/>
        <w:bottom w:val="single" w:sz="4" w:space="0" w:color="2A8C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A8C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A8C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A8CFF" w:themeColor="text1" w:themeTint="80"/>
          <w:right w:val="single" w:sz="4" w:space="0" w:color="2A8CFF" w:themeColor="text1" w:themeTint="80"/>
        </w:tcBorders>
      </w:tcPr>
    </w:tblStylePr>
    <w:tblStylePr w:type="band2Vert">
      <w:tblPr/>
      <w:tcPr>
        <w:tcBorders>
          <w:left w:val="single" w:sz="4" w:space="0" w:color="2A8CFF" w:themeColor="text1" w:themeTint="80"/>
          <w:right w:val="single" w:sz="4" w:space="0" w:color="2A8CFF" w:themeColor="text1" w:themeTint="80"/>
        </w:tcBorders>
      </w:tcPr>
    </w:tblStylePr>
    <w:tblStylePr w:type="band1Horz">
      <w:tblPr/>
      <w:tcPr>
        <w:tcBorders>
          <w:top w:val="single" w:sz="4" w:space="0" w:color="2A8CFF" w:themeColor="text1" w:themeTint="80"/>
          <w:bottom w:val="single" w:sz="4" w:space="0" w:color="2A8CFF" w:themeColor="text1" w:themeTint="80"/>
        </w:tcBorders>
      </w:tcPr>
    </w:tblStylePr>
  </w:style>
  <w:style w:type="paragraph" w:customStyle="1" w:styleId="MarketingBullet4">
    <w:name w:val="Marketing Bullet 4"/>
    <w:basedOn w:val="MarketingBulletSub"/>
    <w:uiPriority w:val="19"/>
    <w:semiHidden/>
    <w:qFormat/>
    <w:rsid w:val="00CF19CB"/>
    <w:pPr>
      <w:ind w:left="1350"/>
    </w:pPr>
  </w:style>
  <w:style w:type="paragraph" w:customStyle="1" w:styleId="MarketingBullet3">
    <w:name w:val="Marketing Bullet 3"/>
    <w:basedOn w:val="MarketingBullet"/>
    <w:uiPriority w:val="19"/>
    <w:semiHidden/>
    <w:qFormat/>
    <w:rsid w:val="00CF19CB"/>
    <w:pPr>
      <w:numPr>
        <w:ilvl w:val="1"/>
        <w:numId w:val="1"/>
      </w:numPr>
      <w:ind w:left="990" w:hanging="270"/>
    </w:pPr>
  </w:style>
  <w:style w:type="paragraph" w:customStyle="1" w:styleId="MarketingBullet5">
    <w:name w:val="Marketing Bullet 5"/>
    <w:basedOn w:val="MarketingBullet3"/>
    <w:uiPriority w:val="19"/>
    <w:semiHidden/>
    <w:qFormat/>
    <w:rsid w:val="00CF19CB"/>
    <w:pPr>
      <w:ind w:left="1710"/>
    </w:pPr>
  </w:style>
  <w:style w:type="paragraph" w:customStyle="1" w:styleId="MarketingBullet6">
    <w:name w:val="Marketing Bullet 6"/>
    <w:basedOn w:val="MarketingBullet4"/>
    <w:uiPriority w:val="19"/>
    <w:semiHidden/>
    <w:qFormat/>
    <w:rsid w:val="00CF19CB"/>
    <w:pPr>
      <w:ind w:left="2070"/>
    </w:pPr>
  </w:style>
  <w:style w:type="paragraph" w:customStyle="1" w:styleId="MarketingBullet7">
    <w:name w:val="Marketing Bullet 7"/>
    <w:basedOn w:val="MarketingBullet5"/>
    <w:uiPriority w:val="19"/>
    <w:semiHidden/>
    <w:rsid w:val="00CF19CB"/>
    <w:pPr>
      <w:ind w:left="2430"/>
    </w:pPr>
  </w:style>
  <w:style w:type="paragraph" w:customStyle="1" w:styleId="MarketingBullet8">
    <w:name w:val="Marketing Bullet 8"/>
    <w:basedOn w:val="MarketingBullet6"/>
    <w:uiPriority w:val="19"/>
    <w:semiHidden/>
    <w:rsid w:val="00CF19CB"/>
    <w:pPr>
      <w:ind w:left="2790"/>
    </w:pPr>
  </w:style>
  <w:style w:type="paragraph" w:styleId="BodyText">
    <w:name w:val="Body Text"/>
    <w:basedOn w:val="Normal"/>
    <w:link w:val="BodyTextChar"/>
    <w:uiPriority w:val="99"/>
    <w:unhideWhenUsed/>
    <w:rsid w:val="00CF19CB"/>
  </w:style>
  <w:style w:type="character" w:customStyle="1" w:styleId="BodyTextChar">
    <w:name w:val="Body Text Char"/>
    <w:basedOn w:val="DefaultParagraphFont"/>
    <w:link w:val="BodyText"/>
    <w:uiPriority w:val="99"/>
    <w:rsid w:val="00CF19CB"/>
    <w:rPr>
      <w:rFonts w:ascii="Arial" w:eastAsia="MS Mincho" w:hAnsi="Arial" w:cs="Times New Roman"/>
      <w:sz w:val="20"/>
      <w:szCs w:val="24"/>
      <w:lang w:eastAsia="ja-JP"/>
    </w:rPr>
  </w:style>
  <w:style w:type="character" w:customStyle="1" w:styleId="MarketingBodyChar">
    <w:name w:val="Marketing Body Char"/>
    <w:link w:val="MarketingBody"/>
    <w:uiPriority w:val="1"/>
    <w:locked/>
    <w:rsid w:val="00C90C01"/>
    <w:rPr>
      <w:rFonts w:ascii="Arial" w:hAnsi="Arial"/>
      <w:sz w:val="20"/>
    </w:rPr>
  </w:style>
  <w:style w:type="paragraph" w:customStyle="1" w:styleId="BioContactInformation">
    <w:name w:val="Bio Contact Information"/>
    <w:basedOn w:val="Normal"/>
    <w:uiPriority w:val="31"/>
    <w:qFormat/>
    <w:rsid w:val="00C90C01"/>
    <w:pPr>
      <w:adjustRightInd/>
      <w:snapToGrid/>
      <w:spacing w:before="0" w:after="60" w:line="240" w:lineRule="auto"/>
      <w:jc w:val="center"/>
    </w:pPr>
    <w:rPr>
      <w:rFonts w:eastAsia="Times New Roman" w:cs="Arial"/>
      <w:color w:val="004F8E"/>
      <w:kern w:val="24"/>
      <w:sz w:val="18"/>
      <w:szCs w:val="18"/>
      <w:lang w:eastAsia="en-US"/>
    </w:rPr>
  </w:style>
  <w:style w:type="paragraph" w:customStyle="1" w:styleId="Level1">
    <w:name w:val="Level 1"/>
    <w:basedOn w:val="Normal"/>
    <w:rsid w:val="00C031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5DEFF" w:themeFill="accent2" w:themeFillTint="33"/>
      <w:spacing w:before="240" w:after="240"/>
    </w:pPr>
    <w:rPr>
      <w:rFonts w:cstheme="minorHAnsi"/>
      <w:b/>
      <w:sz w:val="36"/>
      <w:szCs w:val="36"/>
    </w:rPr>
  </w:style>
  <w:style w:type="paragraph" w:customStyle="1" w:styleId="Level2">
    <w:name w:val="Level 2"/>
    <w:basedOn w:val="Normal"/>
    <w:rsid w:val="00C031EB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3EDF9" w:themeFill="accent1" w:themeFillTint="33"/>
      <w:spacing w:before="240" w:line="240" w:lineRule="auto"/>
    </w:pPr>
    <w:rPr>
      <w:b/>
      <w:color w:val="002856" w:themeColor="text1"/>
      <w:sz w:val="28"/>
      <w:szCs w:val="28"/>
    </w:rPr>
  </w:style>
  <w:style w:type="paragraph" w:customStyle="1" w:styleId="Level3">
    <w:name w:val="Level 3"/>
    <w:basedOn w:val="Normal"/>
    <w:rsid w:val="00C031EB"/>
    <w:pPr>
      <w:keepNext/>
      <w:spacing w:before="240" w:line="240" w:lineRule="auto"/>
    </w:pPr>
    <w:rPr>
      <w:b/>
      <w:i/>
      <w:color w:val="0059C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Esquire%20Innovations\iCreate\iTemplates\iMarketing\Marketing%20Styles%20Template.dotx" TargetMode="External"/></Relationships>
</file>

<file path=word/theme/theme1.xml><?xml version="1.0" encoding="utf-8"?>
<a:theme xmlns:a="http://schemas.openxmlformats.org/drawingml/2006/main" name="HinshawMarketing">
  <a:themeElements>
    <a:clrScheme name="hinshaw">
      <a:dk1>
        <a:srgbClr val="002856"/>
      </a:dk1>
      <a:lt1>
        <a:sysClr val="window" lastClr="FFFFFF"/>
      </a:lt1>
      <a:dk2>
        <a:srgbClr val="A7A9AC"/>
      </a:dk2>
      <a:lt2>
        <a:srgbClr val="E6E7E8"/>
      </a:lt2>
      <a:accent1>
        <a:srgbClr val="27AAE1"/>
      </a:accent1>
      <a:accent2>
        <a:srgbClr val="004F8E"/>
      </a:accent2>
      <a:accent3>
        <a:srgbClr val="773377"/>
      </a:accent3>
      <a:accent4>
        <a:srgbClr val="401B61"/>
      </a:accent4>
      <a:accent5>
        <a:srgbClr val="ABD3CB"/>
      </a:accent5>
      <a:accent6>
        <a:srgbClr val="16555C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79E2B-BB57-4D2E-A5B5-18885941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Marketing Styles Template.dotx</Template>
  <TotalTime>1</TotalTime>
  <Pages>5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Hinshaw &amp; Culbertson LLP</Company>
  <LinksUpToDate>false</LinksUpToDate>
  <CharactersWithSpaces>11371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Griesemer, Jorie</dc:creator>
  <cp:lastModifiedBy>Griesemer, Jorie</cp:lastModifiedBy>
  <cp:revision>1</cp:revision>
  <cp:lastPrinted>2020-01-02T17:21:00Z</cp:lastPrinted>
  <dcterms:created xsi:type="dcterms:W3CDTF">2020-07-20T17:12:00Z</dcterms:created>
  <dcterms:modified xsi:type="dcterms:W3CDTF">2020-07-20T17:14:00Z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lectedNumberingScheme">
    <vt:lpwstr>C:\ProgramData\Esquire Innovations\iCreate\iTemplates\SchemesGlobal\Marketing Bullet.docx</vt:lpwstr>
  </property>
</Properties>
</file>