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b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ind w:right="360"/>
        <w:jc w:val="center"/>
        <w:rPr>
          <w:rFonts w:eastAsia="Times New Roman" w:cs="Arial"/>
          <w:b/>
          <w:sz w:val="22"/>
          <w:szCs w:val="22"/>
          <w:lang w:eastAsia="en-US"/>
        </w:rPr>
      </w:pPr>
      <w:r w:rsidRPr="00B317F4">
        <w:rPr>
          <w:rFonts w:eastAsia="Times New Roman" w:cs="Arial"/>
          <w:b/>
          <w:sz w:val="22"/>
          <w:szCs w:val="22"/>
          <w:lang w:eastAsia="en-US"/>
        </w:rPr>
        <w:t xml:space="preserve">PARTIAL LIST OF CITATIONS 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ind w:right="360"/>
        <w:jc w:val="center"/>
        <w:rPr>
          <w:rFonts w:eastAsia="Times New Roman" w:cs="Arial"/>
          <w:b/>
          <w:sz w:val="22"/>
          <w:szCs w:val="22"/>
          <w:lang w:eastAsia="en-US"/>
        </w:rPr>
      </w:pPr>
      <w:r w:rsidRPr="00B317F4">
        <w:rPr>
          <w:rFonts w:eastAsia="Times New Roman" w:cs="Arial"/>
          <w:b/>
          <w:sz w:val="22"/>
          <w:szCs w:val="22"/>
          <w:lang w:eastAsia="en-US"/>
        </w:rPr>
        <w:t>TO THE LEGAL WRITINGS OF SCOTT M. SEAMAN</w:t>
      </w:r>
    </w:p>
    <w:p w:rsid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b/>
          <w:sz w:val="22"/>
          <w:szCs w:val="22"/>
          <w:lang w:eastAsia="en-US"/>
        </w:rPr>
      </w:pPr>
    </w:p>
    <w:p w:rsid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b/>
          <w:sz w:val="22"/>
          <w:szCs w:val="22"/>
          <w:lang w:eastAsia="en-US"/>
        </w:rPr>
      </w:pPr>
      <w:bookmarkStart w:id="0" w:name="_GoBack"/>
      <w:bookmarkEnd w:id="0"/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b/>
          <w:sz w:val="22"/>
          <w:szCs w:val="22"/>
          <w:lang w:eastAsia="en-US"/>
        </w:rPr>
      </w:pPr>
      <w:r w:rsidRPr="00B317F4">
        <w:rPr>
          <w:rFonts w:eastAsia="Times New Roman" w:cs="Arial"/>
          <w:b/>
          <w:sz w:val="22"/>
          <w:szCs w:val="22"/>
          <w:lang w:eastAsia="en-US"/>
        </w:rPr>
        <w:t>State Supreme Courts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Nucor Corp. v. Employers Ins. Co. of Wausau</w:t>
      </w:r>
      <w:r w:rsidRPr="00B317F4">
        <w:rPr>
          <w:rFonts w:eastAsia="Times New Roman" w:cs="Arial"/>
          <w:sz w:val="22"/>
          <w:szCs w:val="22"/>
          <w:lang w:eastAsia="en-US"/>
        </w:rPr>
        <w:t>, 231 Ariz. 411 (Ariz. 2012) (citing Seaman and Schulze treatise on sharing of defense costs)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Skokie Castings, Inc. v. Illinois Ins. Guar. Fund</w:t>
      </w:r>
      <w:r w:rsidRPr="00B317F4">
        <w:rPr>
          <w:rFonts w:eastAsia="Times New Roman" w:cs="Arial"/>
          <w:sz w:val="22"/>
          <w:szCs w:val="22"/>
          <w:lang w:eastAsia="en-US"/>
        </w:rPr>
        <w:t>, 2013 IL 113873 (Ill. 2013) (citing Seaman law review article on risk retention and insurance purchase issues)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Kajima Const. Services, Inc. v. St. Paul Fire and Marine Ins. Co., 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227 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Ill.2d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 xml:space="preserve"> 102 (Ill. 2007) (citing Seaman law review article on excess insurance principles)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Roberts v. Northland Ins. Co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., 185 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Ill.2d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 xml:space="preserve"> 262 (Ill. 1998) (citing Seaman law review article on the role of excess insurance)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Countryway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 Ins. Co. v. United Financial Cas. Ins. Co.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, 496 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S.W.3d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 xml:space="preserve"> 424 (Ky. 2016) (citing Seaman and Schulze treatise on other insurance clauses)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Boston Gas Co. v. Century </w:t>
      </w: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Indem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>. Co.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, 454 Mass 337 (Mass. 2009) (citing Seaman and Schulze treatise 12 times in its landmark allocation decision for a variety of propositions, including:  the various available allocation formulas, the features of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pro rata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 allocation, fact-based allocation, “all sums” allocation,  impact of “unavailability ” of insurance, self-insured retentions and deductibles, and insurance contract language). 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  <w:r w:rsidRPr="00B317F4">
        <w:rPr>
          <w:rFonts w:eastAsia="Times New Roman" w:cs="Arial"/>
          <w:i/>
          <w:iCs/>
          <w:sz w:val="22"/>
          <w:szCs w:val="22"/>
          <w:lang w:eastAsia="en-US"/>
        </w:rPr>
        <w:t>Ins. Co. of the State of Pennsylvania v. Great Northern Ins. Co.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, 45 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N.E.3d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 xml:space="preserve"> 1283 (Mass. Mar. 2016) (citing Seaman and Schulze treatise on principles of equitable contribution in rejecting selective tender doctrine). 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Spaulding Composites Co., Inc. v. Aetna Cas. and Sur. Co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., 176 N.J. 25 (N.J. 2003) (citing Seaman law review article on the impact of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Owens-Illinois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 decision and on excess insurance and self-insured retentions)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Crossmann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 Communities of North Carolina, Inc. v. Harleysville</w:t>
      </w:r>
      <w:r w:rsidRPr="00B317F4">
        <w:rPr>
          <w:rFonts w:eastAsia="Times New Roman" w:cs="Arial"/>
          <w:sz w:val="22"/>
          <w:szCs w:val="22"/>
          <w:lang w:eastAsia="en-US"/>
        </w:rPr>
        <w:t>, 395 S.C. 40 (S.C. 2011) (citing Seaman and Schulze treatise on allocating to the policyholder for periods of no insurance, insufficient insurance, and self-insurance)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Beaufort County School Dist. v. United Nat. Ins. Co., </w:t>
      </w:r>
      <w:r w:rsidRPr="00B317F4">
        <w:rPr>
          <w:rFonts w:eastAsia="Times New Roman" w:cs="Arial"/>
          <w:sz w:val="22"/>
          <w:szCs w:val="22"/>
          <w:lang w:eastAsia="en-US"/>
        </w:rPr>
        <w:t>392 S.C. 506 (S.C. 2011) (citing Seaman and Schulze treatise on “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deemer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>” clauses)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Burgraff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 v. Menard, Inc.,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 2016 WL 11 (Wisc. 2016) (concurring opinion citing Seaman and Schulze treatise on equitable allocation)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State ex rel. Owners Ins. Co. v. McGraw</w:t>
      </w:r>
      <w:r w:rsidRPr="00B317F4">
        <w:rPr>
          <w:rFonts w:eastAsia="Times New Roman" w:cs="Arial"/>
          <w:sz w:val="22"/>
          <w:szCs w:val="22"/>
          <w:lang w:eastAsia="en-US"/>
        </w:rPr>
        <w:t>, 233 W. Va. 776 (W. Va. 2014) (citing Seaman and Schulze treatise on contribution rights)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b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b/>
          <w:sz w:val="22"/>
          <w:szCs w:val="22"/>
          <w:lang w:eastAsia="en-US"/>
        </w:rPr>
      </w:pPr>
      <w:r w:rsidRPr="00B317F4">
        <w:rPr>
          <w:rFonts w:eastAsia="Times New Roman" w:cs="Arial"/>
          <w:b/>
          <w:sz w:val="22"/>
          <w:szCs w:val="22"/>
          <w:lang w:eastAsia="en-US"/>
        </w:rPr>
        <w:lastRenderedPageBreak/>
        <w:t>State Intermediate Appellate Courts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Haering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 v. </w:t>
      </w: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Topa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 Insurance Co</w:t>
      </w:r>
      <w:r w:rsidRPr="00B317F4">
        <w:rPr>
          <w:rFonts w:eastAsia="Times New Roman" w:cs="Arial"/>
          <w:sz w:val="22"/>
          <w:szCs w:val="22"/>
          <w:lang w:eastAsia="en-US"/>
        </w:rPr>
        <w:t>., 244 Cal. App. 4th 725 (Cal. App. 2015) (citing Seaman law review article on excess insurance)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A.R. Thane Ritchie v. Arch Specialty Ins. Co</w:t>
      </w:r>
      <w:r w:rsidRPr="00B317F4">
        <w:rPr>
          <w:rFonts w:eastAsia="Times New Roman" w:cs="Arial"/>
          <w:sz w:val="22"/>
          <w:szCs w:val="22"/>
          <w:lang w:eastAsia="en-US"/>
        </w:rPr>
        <w:t>., 2017 IL App (1st) 160413-U (Ill. App. March 2017) (citing Seaman law review article on exhaustion)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Certain Underwriters at Lloyd’s, London v. Central Mut. Ins. Co</w:t>
      </w:r>
      <w:r w:rsidRPr="00B317F4">
        <w:rPr>
          <w:rFonts w:eastAsia="Times New Roman" w:cs="Arial"/>
          <w:sz w:val="22"/>
          <w:szCs w:val="22"/>
          <w:lang w:eastAsia="en-US"/>
        </w:rPr>
        <w:t>., 2014 IL App (1st) 133145 (Ill. App. May 2014) (citing Seaman law review article on primary and excess insurance)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Thomson Inc. v. Insurance Co. of North America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, 11 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N.E.3d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 xml:space="preserve"> 982 (Ind. App. 2014) (citing Seaman and Schulze treatise on allocation)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Mayor and City Council of Baltimore v. Utica Mut. Ins. Co</w:t>
      </w:r>
      <w:r w:rsidRPr="00B317F4">
        <w:rPr>
          <w:rFonts w:eastAsia="Times New Roman" w:cs="Arial"/>
          <w:sz w:val="22"/>
          <w:szCs w:val="22"/>
          <w:lang w:eastAsia="en-US"/>
        </w:rPr>
        <w:t>., 145 Md. App. 256 (Md. App. 2002) (citing Seaman law review article on excess insurance and catastrophic loss)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New England Insulation Co., Inc. v. Liberty Mut. Ins. Co</w:t>
      </w:r>
      <w:r w:rsidRPr="00B317F4">
        <w:rPr>
          <w:rFonts w:eastAsia="Times New Roman" w:cs="Arial"/>
          <w:sz w:val="22"/>
          <w:szCs w:val="22"/>
          <w:lang w:eastAsia="en-US"/>
        </w:rPr>
        <w:t>., 74 Mass. App. 1102 (Mass. App. 2009) (citing Seaman and Schulze treatise on “other insurance” clauses)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Nooter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 Corp. v. Allianz Underwriters Ins. Co</w:t>
      </w:r>
      <w:r w:rsidRPr="00B317F4">
        <w:rPr>
          <w:rFonts w:eastAsia="Times New Roman" w:cs="Arial"/>
          <w:sz w:val="22"/>
          <w:szCs w:val="22"/>
          <w:lang w:eastAsia="en-US"/>
        </w:rPr>
        <w:t>., 2017 WL 4365168 (Mo. Ct. App. 2017) (citing Seaman &amp; Schulze treatise on long tail claims and allocation)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Kephard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 v. </w:t>
      </w: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Pendergraph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>, 131 N.C. App. 559 (N.C. App. 1998) (citing Seaman law review article on excess insurance and right to associate in the defense)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Westchester Fire Ins. Co. v. </w:t>
      </w: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Schorsch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>, 2020 N.Y. App. Div. LEXIS 2979 (N.Y. App. 2020) (citing Seaman law review article on following form)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b/>
          <w:sz w:val="22"/>
          <w:szCs w:val="22"/>
          <w:lang w:eastAsia="en-US"/>
        </w:rPr>
      </w:pPr>
      <w:r w:rsidRPr="00B317F4">
        <w:rPr>
          <w:rFonts w:eastAsia="Times New Roman" w:cs="Arial"/>
          <w:b/>
          <w:sz w:val="22"/>
          <w:szCs w:val="22"/>
          <w:lang w:eastAsia="en-US"/>
        </w:rPr>
        <w:t xml:space="preserve">State Trial Courts 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Alterra Excess &amp; Surplus Ins. Co. v. </w:t>
      </w: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Tanadgusix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 Corp., </w:t>
      </w:r>
      <w:r w:rsidRPr="00B317F4">
        <w:rPr>
          <w:rFonts w:eastAsia="Times New Roman" w:cs="Arial"/>
          <w:sz w:val="22"/>
          <w:szCs w:val="22"/>
          <w:lang w:eastAsia="en-US"/>
        </w:rPr>
        <w:t>2015 WL 9898978 (Alaska Super Ct. Feb. 2015) (citing Seaman and Schulze treatise on selective tender)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Viking Pump, Inc. v. Century Indemnity Co</w:t>
      </w:r>
      <w:r w:rsidRPr="00B317F4">
        <w:rPr>
          <w:rFonts w:eastAsia="Times New Roman" w:cs="Arial"/>
          <w:sz w:val="22"/>
          <w:szCs w:val="22"/>
          <w:lang w:eastAsia="en-US"/>
        </w:rPr>
        <w:t>., 2014 WL 1305003 (Del. Supr. Ct. Feb. 2014) (citing Seaman and Schulze treatise on horizontal exhaustion)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Union National Ins. Co. v. Providence Washington Ins. Co.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, 23 Mass. L. 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Rptr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>. 236 (Mass. Super. Ct. June 2008) (citing Seaman law review article on damages in an equitable subrogation action)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b/>
          <w:sz w:val="22"/>
          <w:szCs w:val="22"/>
          <w:lang w:eastAsia="en-US"/>
        </w:rPr>
      </w:pPr>
      <w:r w:rsidRPr="00B317F4">
        <w:rPr>
          <w:rFonts w:eastAsia="Times New Roman" w:cs="Arial"/>
          <w:b/>
          <w:sz w:val="22"/>
          <w:szCs w:val="22"/>
          <w:lang w:eastAsia="en-US"/>
        </w:rPr>
        <w:t>Federal Circuit Courts Of Appeal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Plastics Engineering Co. v. Liberty Mut. Ins. Co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., 514 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F.3d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 xml:space="preserve"> 651 (7th Cir. 2008) (citing Seaman law review article on “non-cumulation” provisions)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Salvati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 v. Am. Ins. Co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., 855 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F.3d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 xml:space="preserve"> 40 (1st Cir. 2017) (citing Seaman law review article on excess insurance)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lastRenderedPageBreak/>
        <w:t xml:space="preserve">Lexington Ins. Co. v. </w:t>
      </w: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RLI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 Ins. Co.,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 949 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F.3d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 xml:space="preserve"> 1015 (citing Seaman law review article on excess insurance)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b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b/>
          <w:sz w:val="22"/>
          <w:szCs w:val="22"/>
          <w:lang w:eastAsia="en-US"/>
        </w:rPr>
      </w:pPr>
      <w:r w:rsidRPr="00B317F4">
        <w:rPr>
          <w:rFonts w:eastAsia="Times New Roman" w:cs="Arial"/>
          <w:b/>
          <w:sz w:val="22"/>
          <w:szCs w:val="22"/>
          <w:lang w:eastAsia="en-US"/>
        </w:rPr>
        <w:t>Federal District Courts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First Mercury Ins. Co. v. Shawmut Woodworking &amp; Supply, Inc</w:t>
      </w:r>
      <w:r w:rsidRPr="00B317F4">
        <w:rPr>
          <w:rFonts w:eastAsia="Times New Roman" w:cs="Arial"/>
          <w:sz w:val="22"/>
          <w:szCs w:val="22"/>
          <w:lang w:eastAsia="en-US"/>
        </w:rPr>
        <w:t>., 2014 WL 4726245 (D. Conn. Sept. 2014) (citing Seaman and Schulze treatise for meaning of effect of additional insured endorsement)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Beloit Liquidating Trust v. Century Indemnity Co</w:t>
      </w:r>
      <w:r w:rsidRPr="00B317F4">
        <w:rPr>
          <w:rFonts w:eastAsia="Times New Roman" w:cs="Arial"/>
          <w:sz w:val="22"/>
          <w:szCs w:val="22"/>
          <w:u w:val="single"/>
          <w:lang w:eastAsia="en-US"/>
        </w:rPr>
        <w:t>.</w:t>
      </w:r>
      <w:r w:rsidRPr="00B317F4">
        <w:rPr>
          <w:rFonts w:eastAsia="Times New Roman" w:cs="Arial"/>
          <w:sz w:val="22"/>
          <w:szCs w:val="22"/>
          <w:lang w:eastAsia="en-US"/>
        </w:rPr>
        <w:t>,</w:t>
      </w:r>
      <w:r w:rsidRPr="00B317F4">
        <w:rPr>
          <w:rFonts w:eastAsia="Times New Roman" w:cs="Arial"/>
          <w:color w:val="252525"/>
          <w:sz w:val="22"/>
          <w:szCs w:val="22"/>
          <w:lang w:eastAsia="en-US"/>
        </w:rPr>
        <w:t xml:space="preserve"> 2002 WL 31870525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 (N.D. Ill. Dec. 20, 2002) (citing Seaman law review article on self-insured retentions)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National Union Ins. Co. v. Dowd &amp; Dowd, P.C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., 2 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F.Supp.2d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 xml:space="preserve"> 1013 (N.D. Ill. 1998) (citing Seaman law review article on self-insurance) 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Me. Woods Pellet Co. LLC v. Western World Ins. Co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., 401 F. Supp. 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3d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 xml:space="preserve"> 194 (D. Maine 2019) (citing Seaman treatise on deductibles)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Peabody Essex Museum, Inc. v. U.S. Fire Ins. Co</w:t>
      </w:r>
      <w:r w:rsidRPr="00B317F4">
        <w:rPr>
          <w:rFonts w:eastAsia="Times New Roman" w:cs="Arial"/>
          <w:sz w:val="22"/>
          <w:szCs w:val="22"/>
          <w:lang w:eastAsia="en-US"/>
        </w:rPr>
        <w:t>., 2010 WL 3895172 (D. Mass. 2010) (citing Seaman and Schulze treatise on allocation)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Aquino v. Pacesetter Adjustment Co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., 416 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F.Supp.2d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 xml:space="preserve"> 181 (D. Mass. 2005) (citing Seaman law review article on notice of occurrence)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Reinke Manufacturing Co. v. </w:t>
      </w: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Elecsys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 Corp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., 2018 U.S. Dist. LEXIS 26695 (D. New Mexico Feb. 2018) (citing Seaman and Schulze on contractual indemnity claims) 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Reinke Mfg. v. </w:t>
      </w: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Elecsys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 Corp., 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2018 U.S. Dist. LEXIS 26695 (D. Neb. Feb. 20, 2018) (citing Seaman and Schulze treatise on contractual indemnity) 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Am. Auto. Ins. Co. v. First Mercury Ins. Co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., 2017 U.S. Dist. LEXIS 51336 (D. New Mexico Mar. 2017) (citing Seaman law review article on deductibles) 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Endurance American Specialty Ins. Co. v. Century Sur. Co</w:t>
      </w:r>
      <w:r w:rsidRPr="00B317F4">
        <w:rPr>
          <w:rFonts w:eastAsia="Times New Roman" w:cs="Arial"/>
          <w:sz w:val="22"/>
          <w:szCs w:val="22"/>
          <w:lang w:eastAsia="en-US"/>
        </w:rPr>
        <w:t>., 2014 WL 4555697 (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S.D.N.Y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>. Sept. 2014) (citing Seaman and Schulze treatise on exhaustion issues)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Canal Ins. Co. v. Montello, Inc</w:t>
      </w:r>
      <w:r w:rsidRPr="00B317F4">
        <w:rPr>
          <w:rFonts w:eastAsia="Times New Roman" w:cs="Arial"/>
          <w:sz w:val="22"/>
          <w:szCs w:val="22"/>
          <w:lang w:eastAsia="en-US"/>
        </w:rPr>
        <w:t>., 2013 WL 6732658 (N.D. Oklahoma Dec. 2013) (citing Seaman and Schulze treatise on insurer insolvency and drop down issues)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First Mercury Ins. Co. v. Waterside Condominium </w:t>
      </w: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Ass’n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>, 2013 WL 6383883 (D. Oregon Dec. 2013) (citing Seaman and Schulze treatise on builder’s wrap-up insurance programs)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Factory Mutual Insurance Co. v. Peri Formworks Systems, Inc</w:t>
      </w:r>
      <w:r w:rsidRPr="00B317F4">
        <w:rPr>
          <w:rFonts w:eastAsia="Times New Roman" w:cs="Arial"/>
          <w:sz w:val="22"/>
          <w:szCs w:val="22"/>
          <w:lang w:eastAsia="en-US"/>
        </w:rPr>
        <w:t>., 2016 WL 7191626 (D. Oregon Dec. 2016) (citing Seaman and Schulze treatise on builder’s wrap-up insurance programs)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Rosser International, Inc. v. Walter P. Moore &amp; Associates</w:t>
      </w:r>
      <w:r w:rsidRPr="00B317F4">
        <w:rPr>
          <w:rFonts w:eastAsia="Times New Roman" w:cs="Arial"/>
          <w:sz w:val="22"/>
          <w:szCs w:val="22"/>
          <w:lang w:eastAsia="en-US"/>
        </w:rPr>
        <w:t>, 2013 WL 3989437 (W. D. Pa. Aug. 2013) (citing Seaman and Schulze treatise on joint defense agreements)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lastRenderedPageBreak/>
        <w:t>Treesdale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, Inc. v. </w:t>
      </w: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TIG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 Ins. Co.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, 681 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F.Supp.2d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 xml:space="preserve"> 611 (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W.D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>. Pa. 2010) (citing Seaman law review article on umbrella insurance)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Greene, Tweed &amp; Co., Inc. v. Hartford Acc. &amp; </w:t>
      </w: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Indem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>. Co</w:t>
      </w:r>
      <w:r w:rsidRPr="00B317F4">
        <w:rPr>
          <w:rFonts w:eastAsia="Times New Roman" w:cs="Arial"/>
          <w:sz w:val="22"/>
          <w:szCs w:val="22"/>
          <w:lang w:eastAsia="en-US"/>
        </w:rPr>
        <w:t>., 2006 WL 1050110 (E.D. Pa. 2006) (citing Seaman law review article on insurer insolvencies and drop down obligations)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Quality Stone </w:t>
      </w: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Veener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>, Inc. v. Selective Ins. Co. of Am</w:t>
      </w:r>
      <w:r w:rsidRPr="00B317F4">
        <w:rPr>
          <w:rFonts w:eastAsia="Times New Roman" w:cs="Arial"/>
          <w:sz w:val="22"/>
          <w:szCs w:val="22"/>
          <w:lang w:eastAsia="en-US"/>
        </w:rPr>
        <w:t>., 2017 WL 345636 (E.D. Pa. 2017) (citing Seaman law review article on umbrella insurance)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Liberty Mut. Fire Ins. Co., v. J.T. Walker Industries, Inc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., 817 F. Supp. 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2d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 xml:space="preserve"> 784 (D. South Carolina)  (citing Seaman and Schulze treatise on allocation and satisfaction of deductibles)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>Vt. Mut. Ins. Co. v. Cincinnati Specialty Underwriters Ins. Co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., 2019 U.S. Dist. LEXIS 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>23179 (D. Vermont) (citing Seaman and Schulze treatise on other insurance and escape clause)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In re Feature Realty Litigation, </w:t>
      </w:r>
      <w:r w:rsidRPr="00B317F4">
        <w:rPr>
          <w:rFonts w:eastAsia="Times New Roman" w:cs="Arial"/>
          <w:sz w:val="22"/>
          <w:szCs w:val="22"/>
          <w:lang w:eastAsia="en-US"/>
        </w:rPr>
        <w:t>2007 WL 2703002 (E. D. Wash. Sept. 2007) (citing Seaman law review article on duty to defend standards and strategy)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b/>
          <w:sz w:val="22"/>
          <w:szCs w:val="22"/>
          <w:lang w:eastAsia="en-US"/>
        </w:rPr>
      </w:pPr>
      <w:r w:rsidRPr="00B317F4">
        <w:rPr>
          <w:rFonts w:eastAsia="Times New Roman" w:cs="Arial"/>
          <w:b/>
          <w:sz w:val="22"/>
          <w:szCs w:val="22"/>
          <w:lang w:eastAsia="en-US"/>
        </w:rPr>
        <w:t>Code Of Federal Regulations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17 C.F.R. Section 229.101 (Item 101) (citing Seaman and DeLascio law review article on global warming claims and coverage issues). 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b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b/>
          <w:sz w:val="22"/>
          <w:szCs w:val="22"/>
          <w:lang w:eastAsia="en-US"/>
        </w:rPr>
      </w:pPr>
      <w:r w:rsidRPr="00B317F4">
        <w:rPr>
          <w:rFonts w:eastAsia="Times New Roman" w:cs="Arial"/>
          <w:b/>
          <w:sz w:val="22"/>
          <w:szCs w:val="22"/>
          <w:lang w:eastAsia="en-US"/>
        </w:rPr>
        <w:t>Insurer Briefs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>Scott’s writings also have been cited extensively by insurers in briefs in matters pending throughout the country including: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Supreme Court of Hawaii (Lexington Insurance Company citing Seaman and Schulze treatise on coordination of coverage between claims-made and occurrence contracts in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Nautilus Ins. Co</w:t>
      </w:r>
      <w:r w:rsidRPr="00B317F4">
        <w:rPr>
          <w:rFonts w:eastAsia="Times New Roman" w:cs="Arial"/>
          <w:sz w:val="22"/>
          <w:szCs w:val="22"/>
          <w:lang w:eastAsia="en-US"/>
        </w:rPr>
        <w:t>.)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Illinois Supreme Court (Certain Underwriters at Lloyds, London citing Seaman treatise on excess insurers in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Nicor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 case)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Indiana Supreme Court (ACE brief citing Seaman and Schulze allocation treatise in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Thomson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 case)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>Supreme Court of Massachusetts (</w:t>
      </w:r>
      <w:r w:rsidRPr="00B317F4">
        <w:rPr>
          <w:rFonts w:eastAsia="Times New Roman" w:cs="Arial"/>
          <w:i/>
          <w:sz w:val="22"/>
          <w:szCs w:val="22"/>
          <w:lang w:eastAsia="en-US"/>
        </w:rPr>
        <w:t>amicus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 citing Seaman law review article on following form and pure excess insurance in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Allmerica Financial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 case)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>Supreme Court of Massachusetts (Insurance Company of the State of Pennsylvania citing Seaman and Schulze treatise on equitable contribution claims)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New York Court of Appeals (Liberty Mutual Underwriters citing Seaman and Schulze treatise on </w:t>
      </w:r>
      <w:proofErr w:type="spellStart"/>
      <w:r w:rsidRPr="00B317F4">
        <w:rPr>
          <w:rFonts w:eastAsia="Times New Roman" w:cs="Arial"/>
          <w:sz w:val="22"/>
          <w:szCs w:val="22"/>
          <w:lang w:eastAsia="en-US"/>
        </w:rPr>
        <w:t>contruction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 xml:space="preserve"> contracts and additional insureds)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New York Court of Appeals (Century citing Seaman and Schulze allocation treatise in </w:t>
      </w: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KeySpan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 xml:space="preserve"> case)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lastRenderedPageBreak/>
        <w:t xml:space="preserve">New York Court of Appeals (various insurers citing Seaman and Schulze allocation treatise in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Viking Pump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 case)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New York Court of Appeals (Travelers citing Seaman law review article on “all sums” allocation methodology being inconsistent with the injury in fact trigger and policy language in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Consolidated Edison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 case).  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Pennsylvania Supreme Court (Donegal Mutual citing Seaman and Schulze treatise on number of occurrences in </w:t>
      </w: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Baumhammers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 </w:t>
      </w:r>
      <w:r w:rsidRPr="00B317F4">
        <w:rPr>
          <w:rFonts w:eastAsia="Times New Roman" w:cs="Arial"/>
          <w:sz w:val="22"/>
          <w:szCs w:val="22"/>
          <w:lang w:eastAsia="en-US"/>
        </w:rPr>
        <w:t>case)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Texas Supreme Court and Texas Court of Appeal (Markel citing Seaman and Schulze allocation treatise in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Lennar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 case)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Texas Supreme Court and Texas Court of Appeal (Highlands Ins. Co. citing Seaman and Schulze treatise on exhaustion and excess insurance principles in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Plantation Pipeline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 case)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Supreme Court of New York (Century citing Seaman and Schulze treatise in the </w:t>
      </w: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Keyspan</w:t>
      </w:r>
      <w:proofErr w:type="spellEnd"/>
      <w:r w:rsidRPr="00B317F4">
        <w:rPr>
          <w:rFonts w:eastAsia="Times New Roman" w:cs="Arial"/>
          <w:sz w:val="22"/>
          <w:szCs w:val="22"/>
          <w:lang w:eastAsia="en-US"/>
        </w:rPr>
        <w:t xml:space="preserve"> case on allocation and unavailability of insurance coverage)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United States Court of Appeals for the Second Circuit (Century Indemnity Company citing Seaman and Schulze treatise on recoupment of defense costs in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Narragansett Electric Co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.) 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>United States Court of Appeals for the Second Circuit (Midgal Insurance Company citing Seaman and Schulze treatise on other insurance clauses)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United States Court of Appeals for the Fifth Circuit (Insurance Company of the State of Pennsylvania citing Seaman law review article on duty to defend in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Schneider National Transport</w:t>
      </w:r>
      <w:r w:rsidRPr="00B317F4">
        <w:rPr>
          <w:rFonts w:eastAsia="Times New Roman" w:cs="Arial"/>
          <w:sz w:val="22"/>
          <w:szCs w:val="22"/>
          <w:lang w:eastAsia="en-US"/>
        </w:rPr>
        <w:t>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United States Court of Appeals for the Fifth Circuit (Affiliated FM citing Seaman and Schulze treatise on other insurance clauses in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Southern Insurance Co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.) 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United States Court of Appeals for the Fifth Circuit (Westchester Fire citing Seaman and Schulze treatise on other insurance clauses in </w:t>
      </w:r>
      <w:proofErr w:type="spellStart"/>
      <w:r w:rsidRPr="00B317F4">
        <w:rPr>
          <w:rFonts w:eastAsia="Times New Roman" w:cs="Arial"/>
          <w:i/>
          <w:sz w:val="22"/>
          <w:szCs w:val="22"/>
          <w:lang w:eastAsia="en-US"/>
        </w:rPr>
        <w:t>EMJ</w:t>
      </w:r>
      <w:proofErr w:type="spellEnd"/>
      <w:r w:rsidRPr="00B317F4">
        <w:rPr>
          <w:rFonts w:eastAsia="Times New Roman" w:cs="Arial"/>
          <w:i/>
          <w:sz w:val="22"/>
          <w:szCs w:val="22"/>
          <w:lang w:eastAsia="en-US"/>
        </w:rPr>
        <w:t xml:space="preserve"> Corporation</w:t>
      </w:r>
      <w:r w:rsidRPr="00B317F4">
        <w:rPr>
          <w:rFonts w:eastAsia="Times New Roman" w:cs="Arial"/>
          <w:sz w:val="22"/>
          <w:szCs w:val="22"/>
          <w:lang w:eastAsia="en-US"/>
        </w:rPr>
        <w:t>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United States Court of Appeals for the Fifth Circuit (Ranger Ins. citing Seaman and Schulze treatise on assignment of risk in construction contracts in the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Deepwater Horizon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 case)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United States Court of Appeals for the Eighth Circuit (U.S. Fire Insurance Company citing Seaman and Schulze treatise on allocation in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H.B. Fuller</w:t>
      </w:r>
      <w:r w:rsidRPr="00B317F4">
        <w:rPr>
          <w:rFonts w:eastAsia="Times New Roman" w:cs="Arial"/>
          <w:sz w:val="22"/>
          <w:szCs w:val="22"/>
          <w:lang w:eastAsia="en-US"/>
        </w:rPr>
        <w:t>)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b/>
          <w:sz w:val="22"/>
          <w:szCs w:val="22"/>
          <w:lang w:eastAsia="en-US"/>
        </w:rPr>
      </w:pPr>
      <w:r w:rsidRPr="00B317F4">
        <w:rPr>
          <w:rFonts w:eastAsia="Times New Roman" w:cs="Arial"/>
          <w:b/>
          <w:sz w:val="22"/>
          <w:szCs w:val="22"/>
          <w:lang w:eastAsia="en-US"/>
        </w:rPr>
        <w:t>Secondary Sources</w:t>
      </w: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sz w:val="22"/>
          <w:szCs w:val="22"/>
          <w:lang w:eastAsia="en-US"/>
        </w:rPr>
      </w:pPr>
    </w:p>
    <w:p w:rsidR="00B317F4" w:rsidRPr="00B317F4" w:rsidRDefault="00B317F4" w:rsidP="00B317F4">
      <w:pPr>
        <w:adjustRightInd/>
        <w:snapToGrid/>
        <w:spacing w:before="0" w:after="0" w:line="240" w:lineRule="auto"/>
        <w:jc w:val="both"/>
        <w:rPr>
          <w:rFonts w:eastAsia="Times New Roman" w:cs="Arial"/>
          <w:i/>
          <w:sz w:val="22"/>
          <w:szCs w:val="22"/>
          <w:lang w:eastAsia="en-US"/>
        </w:rPr>
      </w:pPr>
      <w:r w:rsidRPr="00B317F4">
        <w:rPr>
          <w:rFonts w:eastAsia="Times New Roman" w:cs="Arial"/>
          <w:sz w:val="22"/>
          <w:szCs w:val="22"/>
          <w:lang w:eastAsia="en-US"/>
        </w:rPr>
        <w:t xml:space="preserve">Scott’s writings also have been cited in secondary sources including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Appleman: Current Critical Insurance Law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,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New Appleman on Insurance Law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,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Massachusetts Liability Insurance Manual</w:t>
      </w:r>
      <w:r w:rsidRPr="00B317F4">
        <w:rPr>
          <w:rFonts w:eastAsia="Times New Roman" w:cs="Arial"/>
          <w:sz w:val="22"/>
          <w:szCs w:val="22"/>
          <w:lang w:eastAsia="en-US"/>
        </w:rPr>
        <w:t xml:space="preserve">, ALI-ABA course of study materials, and the American Law Institute’s </w:t>
      </w:r>
      <w:r w:rsidRPr="00B317F4">
        <w:rPr>
          <w:rFonts w:eastAsia="Times New Roman" w:cs="Arial"/>
          <w:i/>
          <w:sz w:val="22"/>
          <w:szCs w:val="22"/>
          <w:lang w:eastAsia="en-US"/>
        </w:rPr>
        <w:t>Restatement of the Law - Liability Insurance.</w:t>
      </w:r>
    </w:p>
    <w:p w:rsidR="00745083" w:rsidRPr="00745083" w:rsidRDefault="00745083" w:rsidP="00745083"/>
    <w:sectPr w:rsidR="00745083" w:rsidRPr="00745083" w:rsidSect="00264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800" w:left="1440" w:header="720" w:footer="720" w:gutter="0"/>
      <w:paperSrc w:first="15" w:other="15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F4" w:rsidRDefault="00B317F4" w:rsidP="00EA3B1B">
      <w:pPr>
        <w:spacing w:after="0" w:line="240" w:lineRule="auto"/>
      </w:pPr>
      <w:r>
        <w:separator/>
      </w:r>
    </w:p>
  </w:endnote>
  <w:endnote w:type="continuationSeparator" w:id="0">
    <w:p w:rsidR="00B317F4" w:rsidRDefault="00B317F4" w:rsidP="00EA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D1B" w:rsidRDefault="00FB0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6AE" w:rsidRPr="005C0155" w:rsidRDefault="00BB4D80" w:rsidP="00EA3B1B">
    <w:pPr>
      <w:pStyle w:val="MarketingFooter"/>
      <w:rPr>
        <w:szCs w:val="18"/>
      </w:rPr>
    </w:pPr>
    <w:r w:rsidRPr="005C0155">
      <w:rPr>
        <w:noProof/>
        <w:szCs w:val="18"/>
      </w:rPr>
      <w:drawing>
        <wp:anchor distT="0" distB="0" distL="114300" distR="114300" simplePos="0" relativeHeight="251658240" behindDoc="0" locked="0" layoutInCell="1" allowOverlap="1" wp14:anchorId="079025D8" wp14:editId="43E5536C">
          <wp:simplePos x="0" y="0"/>
          <wp:positionH relativeFrom="column">
            <wp:posOffset>-64770</wp:posOffset>
          </wp:positionH>
          <wp:positionV relativeFrom="paragraph">
            <wp:posOffset>-91852</wp:posOffset>
          </wp:positionV>
          <wp:extent cx="1554480" cy="356235"/>
          <wp:effectExtent l="0" t="0" r="7620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insha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2045" w:rsidRPr="005C0155">
      <w:rPr>
        <w:szCs w:val="18"/>
      </w:rPr>
      <w:t>©</w:t>
    </w:r>
    <w:r w:rsidR="003E2045" w:rsidRPr="005C0155">
      <w:rPr>
        <w:szCs w:val="18"/>
      </w:rPr>
      <w:fldChar w:fldCharType="begin"/>
    </w:r>
    <w:r w:rsidR="003E2045" w:rsidRPr="005C0155">
      <w:rPr>
        <w:szCs w:val="18"/>
      </w:rPr>
      <w:instrText xml:space="preserve"> DATE  \@ "yyyy" </w:instrText>
    </w:r>
    <w:r w:rsidR="003E2045" w:rsidRPr="005C0155">
      <w:rPr>
        <w:szCs w:val="18"/>
      </w:rPr>
      <w:fldChar w:fldCharType="separate"/>
    </w:r>
    <w:r w:rsidR="00B317F4">
      <w:rPr>
        <w:noProof/>
        <w:szCs w:val="18"/>
      </w:rPr>
      <w:t>2020</w:t>
    </w:r>
    <w:r w:rsidR="003E2045" w:rsidRPr="005C0155">
      <w:rPr>
        <w:szCs w:val="18"/>
      </w:rPr>
      <w:fldChar w:fldCharType="end"/>
    </w:r>
    <w:r w:rsidR="003E2045" w:rsidRPr="005C0155">
      <w:rPr>
        <w:szCs w:val="18"/>
      </w:rPr>
      <w:t xml:space="preserve"> </w:t>
    </w:r>
    <w:r w:rsidR="00F416AE" w:rsidRPr="005C0155">
      <w:rPr>
        <w:szCs w:val="18"/>
      </w:rPr>
      <w:t xml:space="preserve">Hinshaw &amp; </w:t>
    </w:r>
    <w:r w:rsidR="00F732B7" w:rsidRPr="005C0155">
      <w:rPr>
        <w:szCs w:val="18"/>
      </w:rPr>
      <w:t xml:space="preserve">Culbertson </w:t>
    </w:r>
    <w:r w:rsidR="00F416AE" w:rsidRPr="005C0155">
      <w:rPr>
        <w:szCs w:val="18"/>
      </w:rPr>
      <w:t xml:space="preserve">LLP | </w:t>
    </w:r>
    <w:r w:rsidR="00F416AE" w:rsidRPr="005C0155">
      <w:rPr>
        <w:szCs w:val="18"/>
      </w:rPr>
      <w:fldChar w:fldCharType="begin"/>
    </w:r>
    <w:r w:rsidR="00F416AE" w:rsidRPr="005C0155">
      <w:rPr>
        <w:szCs w:val="18"/>
      </w:rPr>
      <w:instrText xml:space="preserve"> PAGE   \* MERGEFORMAT </w:instrText>
    </w:r>
    <w:r w:rsidR="00F416AE" w:rsidRPr="005C0155">
      <w:rPr>
        <w:szCs w:val="18"/>
      </w:rPr>
      <w:fldChar w:fldCharType="separate"/>
    </w:r>
    <w:r w:rsidR="00A92202" w:rsidRPr="005C0155">
      <w:rPr>
        <w:noProof/>
        <w:szCs w:val="18"/>
      </w:rPr>
      <w:t>2</w:t>
    </w:r>
    <w:r w:rsidR="00F416AE" w:rsidRPr="005C0155">
      <w:rPr>
        <w:noProof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241" w:rsidRPr="005C0155" w:rsidRDefault="00BB4D80" w:rsidP="00272241">
    <w:pPr>
      <w:pStyle w:val="MarketingFooter"/>
      <w:rPr>
        <w:szCs w:val="18"/>
      </w:rPr>
    </w:pPr>
    <w:r w:rsidRPr="005C0155">
      <w:rPr>
        <w:noProof/>
        <w:szCs w:val="18"/>
      </w:rPr>
      <w:drawing>
        <wp:anchor distT="0" distB="0" distL="114300" distR="114300" simplePos="0" relativeHeight="251660288" behindDoc="0" locked="0" layoutInCell="1" allowOverlap="1" wp14:anchorId="7D61EA05" wp14:editId="305BD008">
          <wp:simplePos x="0" y="0"/>
          <wp:positionH relativeFrom="column">
            <wp:posOffset>-64770</wp:posOffset>
          </wp:positionH>
          <wp:positionV relativeFrom="paragraph">
            <wp:posOffset>-93757</wp:posOffset>
          </wp:positionV>
          <wp:extent cx="1554480" cy="356235"/>
          <wp:effectExtent l="0" t="0" r="7620" b="571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insha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241" w:rsidRPr="005C0155">
      <w:rPr>
        <w:szCs w:val="18"/>
      </w:rPr>
      <w:t>©</w:t>
    </w:r>
    <w:r w:rsidR="00272241" w:rsidRPr="005C0155">
      <w:rPr>
        <w:szCs w:val="18"/>
      </w:rPr>
      <w:fldChar w:fldCharType="begin"/>
    </w:r>
    <w:r w:rsidR="00272241" w:rsidRPr="005C0155">
      <w:rPr>
        <w:szCs w:val="18"/>
      </w:rPr>
      <w:instrText xml:space="preserve"> DATE  \@ "yyyy" </w:instrText>
    </w:r>
    <w:r w:rsidR="00272241" w:rsidRPr="005C0155">
      <w:rPr>
        <w:szCs w:val="18"/>
      </w:rPr>
      <w:fldChar w:fldCharType="separate"/>
    </w:r>
    <w:r w:rsidR="00B317F4">
      <w:rPr>
        <w:noProof/>
        <w:szCs w:val="18"/>
      </w:rPr>
      <w:t>2020</w:t>
    </w:r>
    <w:r w:rsidR="00272241" w:rsidRPr="005C0155">
      <w:rPr>
        <w:szCs w:val="18"/>
      </w:rPr>
      <w:fldChar w:fldCharType="end"/>
    </w:r>
    <w:r w:rsidR="00272241" w:rsidRPr="005C0155">
      <w:rPr>
        <w:szCs w:val="18"/>
      </w:rPr>
      <w:t xml:space="preserve"> Hinshaw &amp; Culbertson LLP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F4" w:rsidRDefault="00B317F4" w:rsidP="00EA3B1B">
      <w:pPr>
        <w:spacing w:after="0" w:line="240" w:lineRule="auto"/>
      </w:pPr>
      <w:r>
        <w:separator/>
      </w:r>
    </w:p>
  </w:footnote>
  <w:footnote w:type="continuationSeparator" w:id="0">
    <w:p w:rsidR="00B317F4" w:rsidRDefault="00B317F4" w:rsidP="00EA3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D1B" w:rsidRDefault="00FB0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6AE" w:rsidRDefault="00EA5374" w:rsidP="00DE7CCB">
    <w:pPr>
      <w:pStyle w:val="MarketingBody"/>
      <w:jc w:val="right"/>
    </w:pPr>
    <w:r>
      <w:rPr>
        <w:noProof/>
      </w:rPr>
      <w:drawing>
        <wp:inline distT="0" distB="0" distL="0" distR="0" wp14:anchorId="079025D6" wp14:editId="079025D7">
          <wp:extent cx="781050" cy="17337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748" cy="17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6AE" w:rsidRDefault="009159FE" w:rsidP="00B30A17">
    <w:pPr>
      <w:pStyle w:val="MarketingBody"/>
      <w:jc w:val="right"/>
    </w:pPr>
    <w:r>
      <w:rPr>
        <w:noProof/>
      </w:rPr>
      <w:drawing>
        <wp:inline distT="0" distB="0" distL="0" distR="0" wp14:anchorId="079025DA" wp14:editId="079025DB">
          <wp:extent cx="781050" cy="173378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748" cy="17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91989"/>
    <w:multiLevelType w:val="multilevel"/>
    <w:tmpl w:val="F6CC891A"/>
    <w:lvl w:ilvl="0">
      <w:start w:val="1"/>
      <w:numFmt w:val="bullet"/>
      <w:pStyle w:val="MarketingBullet3"/>
      <w:lvlText w:val=""/>
      <w:lvlJc w:val="left"/>
      <w:pPr>
        <w:ind w:left="360" w:hanging="360"/>
      </w:pPr>
      <w:rPr>
        <w:rFonts w:ascii="Symbol" w:hAnsi="Symbol" w:hint="default"/>
        <w:color w:val="27AAE1" w:themeColor="accent1"/>
      </w:rPr>
    </w:lvl>
    <w:lvl w:ilvl="1">
      <w:start w:val="1"/>
      <w:numFmt w:val="bullet"/>
      <w:pStyle w:val="MarketingBullet3"/>
      <w:lvlText w:val=""/>
      <w:lvlJc w:val="left"/>
      <w:pPr>
        <w:ind w:left="720" w:hanging="360"/>
      </w:pPr>
      <w:rPr>
        <w:rFonts w:ascii="Wingdings" w:hAnsi="Wingdings" w:hint="default"/>
        <w:color w:val="27AAE1" w:themeColor="accent1"/>
      </w:rPr>
    </w:lvl>
    <w:lvl w:ilvl="2">
      <w:start w:val="1"/>
      <w:numFmt w:val="bullet"/>
      <w:lvlText w:val=""/>
      <w:lvlJc w:val="left"/>
      <w:pPr>
        <w:ind w:left="576" w:hanging="288"/>
      </w:pPr>
      <w:rPr>
        <w:rFonts w:ascii="Symbol" w:hAnsi="Symbol" w:hint="default"/>
        <w:color w:val="27AAE1" w:themeColor="accent1"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72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72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720"/>
      </w:pPr>
      <w:rPr>
        <w:rFonts w:ascii="Symbol" w:hAnsi="Symbol" w:hint="default"/>
      </w:rPr>
    </w:lvl>
  </w:abstractNum>
  <w:abstractNum w:abstractNumId="1" w15:restartNumberingAfterBreak="0">
    <w:nsid w:val="2F8D7F63"/>
    <w:multiLevelType w:val="multilevel"/>
    <w:tmpl w:val="662AE364"/>
    <w:name w:val="L1"/>
    <w:lvl w:ilvl="0">
      <w:start w:val="1"/>
      <w:numFmt w:val="bullet"/>
      <w:pStyle w:val="MarketingBullet"/>
      <w:lvlText w:val=""/>
      <w:lvlJc w:val="left"/>
      <w:pPr>
        <w:ind w:left="360" w:hanging="360"/>
      </w:pPr>
      <w:rPr>
        <w:rFonts w:ascii="Symbol" w:hAnsi="Symbol" w:hint="default"/>
        <w:color w:val="27AAE1" w:themeColor="accent1"/>
      </w:rPr>
    </w:lvl>
    <w:lvl w:ilvl="1">
      <w:start w:val="1"/>
      <w:numFmt w:val="bullet"/>
      <w:pStyle w:val="MarketingBulletSub"/>
      <w:lvlText w:val=""/>
      <w:lvlJc w:val="left"/>
      <w:pPr>
        <w:ind w:left="720" w:hanging="360"/>
      </w:pPr>
      <w:rPr>
        <w:rFonts w:ascii="Symbol" w:hAnsi="Symbol" w:hint="default"/>
        <w:color w:val="27AAE1" w:themeColor="accent1"/>
      </w:rPr>
    </w:lvl>
    <w:lvl w:ilvl="2">
      <w:start w:val="1"/>
      <w:numFmt w:val="bullet"/>
      <w:lvlText w:val=""/>
      <w:lvlJc w:val="left"/>
      <w:pPr>
        <w:ind w:left="576" w:hanging="288"/>
      </w:pPr>
      <w:rPr>
        <w:rFonts w:ascii="Symbol" w:hAnsi="Symbol" w:hint="default"/>
        <w:color w:val="27AAE1" w:themeColor="accent1"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72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72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720"/>
      </w:pPr>
      <w:rPr>
        <w:rFonts w:ascii="Symbol" w:hAnsi="Symbol" w:hint="default"/>
      </w:rPr>
    </w:lvl>
  </w:abstractNum>
  <w:abstractNum w:abstractNumId="2" w15:restartNumberingAfterBreak="0">
    <w:nsid w:val="7B250B68"/>
    <w:multiLevelType w:val="multilevel"/>
    <w:tmpl w:val="6792C6BE"/>
    <w:lvl w:ilvl="0">
      <w:start w:val="1"/>
      <w:numFmt w:val="bullet"/>
      <w:pStyle w:val="Heading1"/>
      <w:lvlText w:val=""/>
      <w:lvlJc w:val="left"/>
      <w:pPr>
        <w:ind w:left="274" w:hanging="274"/>
      </w:pPr>
      <w:rPr>
        <w:rFonts w:ascii="Symbol" w:hAnsi="Symbol" w:hint="default"/>
        <w:b w:val="0"/>
        <w:i w:val="0"/>
        <w:color w:val="27AAE1" w:themeColor="accent1"/>
        <w:sz w:val="20"/>
      </w:rPr>
    </w:lvl>
    <w:lvl w:ilvl="1">
      <w:start w:val="1"/>
      <w:numFmt w:val="bullet"/>
      <w:pStyle w:val="Heading2"/>
      <w:lvlText w:val=""/>
      <w:lvlJc w:val="left"/>
      <w:pPr>
        <w:ind w:left="576" w:hanging="216"/>
      </w:pPr>
      <w:rPr>
        <w:rFonts w:ascii="Symbol" w:hAnsi="Symbol" w:hint="default"/>
        <w:b w:val="0"/>
        <w:i w:val="0"/>
        <w:color w:val="27AAE1" w:themeColor="accent1"/>
        <w:sz w:val="20"/>
      </w:rPr>
    </w:lvl>
    <w:lvl w:ilvl="2">
      <w:start w:val="1"/>
      <w:numFmt w:val="bullet"/>
      <w:pStyle w:val="Heading3"/>
      <w:lvlText w:val=""/>
      <w:lvlJc w:val="left"/>
      <w:pPr>
        <w:ind w:left="1008" w:hanging="360"/>
      </w:pPr>
      <w:rPr>
        <w:rFonts w:ascii="Symbol" w:hAnsi="Symbol" w:hint="default"/>
        <w:b w:val="0"/>
        <w:i w:val="0"/>
        <w:color w:val="27AAE1" w:themeColor="accent1"/>
        <w:sz w:val="20"/>
      </w:rPr>
    </w:lvl>
    <w:lvl w:ilvl="3">
      <w:start w:val="1"/>
      <w:numFmt w:val="bullet"/>
      <w:pStyle w:val="Heading4"/>
      <w:lvlText w:val=""/>
      <w:lvlJc w:val="left"/>
      <w:pPr>
        <w:ind w:left="1296" w:hanging="288"/>
      </w:pPr>
      <w:rPr>
        <w:rFonts w:ascii="Symbol" w:hAnsi="Symbol" w:hint="default"/>
        <w:b w:val="0"/>
        <w:i w:val="0"/>
        <w:color w:val="27AAE1" w:themeColor="accent1"/>
        <w:sz w:val="20"/>
      </w:rPr>
    </w:lvl>
    <w:lvl w:ilvl="4">
      <w:start w:val="1"/>
      <w:numFmt w:val="bullet"/>
      <w:pStyle w:val="Heading5"/>
      <w:lvlText w:val=""/>
      <w:lvlJc w:val="left"/>
      <w:pPr>
        <w:ind w:left="1656" w:hanging="331"/>
      </w:pPr>
      <w:rPr>
        <w:rFonts w:ascii="Symbol" w:hAnsi="Symbol" w:hint="default"/>
        <w:color w:val="27AAE1" w:themeColor="accent1"/>
      </w:rPr>
    </w:lvl>
    <w:lvl w:ilvl="5">
      <w:start w:val="1"/>
      <w:numFmt w:val="bullet"/>
      <w:pStyle w:val="Heading6"/>
      <w:lvlText w:val=""/>
      <w:lvlJc w:val="left"/>
      <w:pPr>
        <w:tabs>
          <w:tab w:val="num" w:pos="1800"/>
        </w:tabs>
        <w:ind w:left="2117" w:hanging="317"/>
      </w:pPr>
      <w:rPr>
        <w:rFonts w:ascii="Symbol" w:hAnsi="Symbol" w:hint="default"/>
        <w:b w:val="0"/>
        <w:i w:val="0"/>
        <w:color w:val="27AAE1" w:themeColor="accent1"/>
        <w:sz w:val="20"/>
      </w:rPr>
    </w:lvl>
    <w:lvl w:ilvl="6">
      <w:start w:val="1"/>
      <w:numFmt w:val="bullet"/>
      <w:pStyle w:val="Heading7"/>
      <w:lvlText w:val=""/>
      <w:lvlJc w:val="left"/>
      <w:pPr>
        <w:tabs>
          <w:tab w:val="num" w:pos="2160"/>
        </w:tabs>
        <w:ind w:left="2448" w:hanging="317"/>
      </w:pPr>
      <w:rPr>
        <w:rFonts w:ascii="Symbol" w:hAnsi="Symbol" w:hint="default"/>
        <w:color w:val="27AAE1" w:themeColor="accent1"/>
      </w:rPr>
    </w:lvl>
    <w:lvl w:ilvl="7">
      <w:start w:val="1"/>
      <w:numFmt w:val="bullet"/>
      <w:pStyle w:val="Heading8"/>
      <w:lvlText w:val=""/>
      <w:lvlJc w:val="left"/>
      <w:pPr>
        <w:tabs>
          <w:tab w:val="num" w:pos="25632"/>
        </w:tabs>
        <w:ind w:left="2736" w:hanging="288"/>
      </w:pPr>
      <w:rPr>
        <w:rFonts w:ascii="Symbol" w:hAnsi="Symbol" w:hint="default"/>
        <w:color w:val="27AAE1" w:themeColor="accent1"/>
      </w:rPr>
    </w:lvl>
    <w:lvl w:ilvl="8">
      <w:start w:val="1"/>
      <w:numFmt w:val="bullet"/>
      <w:pStyle w:val="Heading9"/>
      <w:lvlText w:val=""/>
      <w:lvlJc w:val="left"/>
      <w:pPr>
        <w:ind w:left="3168" w:hanging="360"/>
      </w:pPr>
      <w:rPr>
        <w:rFonts w:ascii="Symbol" w:hAnsi="Symbol" w:hint="default"/>
        <w:b w:val="0"/>
        <w:i w:val="0"/>
        <w:color w:val="27AAE1" w:themeColor="accent1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MarketingBullet"/>
        <w:lvlText w:val=""/>
        <w:lvlJc w:val="left"/>
        <w:pPr>
          <w:ind w:left="360" w:hanging="360"/>
        </w:pPr>
        <w:rPr>
          <w:rFonts w:ascii="Symbol" w:hAnsi="Symbol" w:hint="default"/>
          <w:color w:val="27AAE1" w:themeColor="accent1"/>
        </w:rPr>
      </w:lvl>
    </w:lvlOverride>
    <w:lvlOverride w:ilvl="1">
      <w:lvl w:ilvl="1">
        <w:start w:val="1"/>
        <w:numFmt w:val="bullet"/>
        <w:lvlRestart w:val="0"/>
        <w:pStyle w:val="MarketingBulletSub"/>
        <w:lvlText w:val=""/>
        <w:lvlJc w:val="left"/>
        <w:pPr>
          <w:ind w:left="720" w:hanging="360"/>
        </w:pPr>
        <w:rPr>
          <w:rFonts w:ascii="Symbol" w:hAnsi="Symbol" w:hint="default"/>
          <w:color w:val="27AAE1" w:themeColor="accent1"/>
        </w:rPr>
      </w:lvl>
    </w:lvlOverride>
    <w:lvlOverride w:ilvl="2">
      <w:lvl w:ilvl="2">
        <w:start w:val="1"/>
        <w:numFmt w:val="bullet"/>
        <w:lvlText w:val=""/>
        <w:lvlJc w:val="left"/>
        <w:pPr>
          <w:ind w:left="576" w:hanging="288"/>
        </w:pPr>
        <w:rPr>
          <w:rFonts w:ascii="Symbol" w:hAnsi="Symbol" w:hint="default"/>
          <w:color w:val="27AAE1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72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3600" w:hanging="720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4320" w:hanging="720"/>
        </w:pPr>
        <w:rPr>
          <w:rFonts w:ascii="Symbol" w:hAnsi="Symbol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72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5760" w:hanging="720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6480" w:hanging="720"/>
        </w:pPr>
        <w:rPr>
          <w:rFonts w:ascii="Symbol" w:hAnsi="Symbol" w:hint="default"/>
        </w:rPr>
      </w:lvl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F4"/>
    <w:rsid w:val="00001D8D"/>
    <w:rsid w:val="00003E3E"/>
    <w:rsid w:val="00012D6D"/>
    <w:rsid w:val="000202D8"/>
    <w:rsid w:val="00020CCF"/>
    <w:rsid w:val="00050D6B"/>
    <w:rsid w:val="00055F7F"/>
    <w:rsid w:val="00064D4A"/>
    <w:rsid w:val="000652F1"/>
    <w:rsid w:val="00084648"/>
    <w:rsid w:val="0009175B"/>
    <w:rsid w:val="000D4618"/>
    <w:rsid w:val="000E5FD7"/>
    <w:rsid w:val="000F0540"/>
    <w:rsid w:val="000F5468"/>
    <w:rsid w:val="00106900"/>
    <w:rsid w:val="0011411C"/>
    <w:rsid w:val="00127315"/>
    <w:rsid w:val="001427B9"/>
    <w:rsid w:val="001538E6"/>
    <w:rsid w:val="00156CF5"/>
    <w:rsid w:val="001938CD"/>
    <w:rsid w:val="001B51BA"/>
    <w:rsid w:val="001F0280"/>
    <w:rsid w:val="00207098"/>
    <w:rsid w:val="0025273C"/>
    <w:rsid w:val="00264BFC"/>
    <w:rsid w:val="00272241"/>
    <w:rsid w:val="002A03BB"/>
    <w:rsid w:val="002A6721"/>
    <w:rsid w:val="002A72F3"/>
    <w:rsid w:val="002B293C"/>
    <w:rsid w:val="00305FA1"/>
    <w:rsid w:val="00326FA7"/>
    <w:rsid w:val="00342153"/>
    <w:rsid w:val="00342CF7"/>
    <w:rsid w:val="003666DF"/>
    <w:rsid w:val="003715BA"/>
    <w:rsid w:val="00373242"/>
    <w:rsid w:val="003A5DE7"/>
    <w:rsid w:val="003C78FE"/>
    <w:rsid w:val="003E2045"/>
    <w:rsid w:val="003E567B"/>
    <w:rsid w:val="00413052"/>
    <w:rsid w:val="004345D0"/>
    <w:rsid w:val="00455551"/>
    <w:rsid w:val="004642D1"/>
    <w:rsid w:val="0049032A"/>
    <w:rsid w:val="004B5E23"/>
    <w:rsid w:val="004E316D"/>
    <w:rsid w:val="00502F43"/>
    <w:rsid w:val="00515F50"/>
    <w:rsid w:val="00532BD8"/>
    <w:rsid w:val="005400BE"/>
    <w:rsid w:val="00564391"/>
    <w:rsid w:val="00564BC8"/>
    <w:rsid w:val="005749CD"/>
    <w:rsid w:val="0059058A"/>
    <w:rsid w:val="005B5DB4"/>
    <w:rsid w:val="005B63BD"/>
    <w:rsid w:val="005C0155"/>
    <w:rsid w:val="005C3B20"/>
    <w:rsid w:val="005E2143"/>
    <w:rsid w:val="00600BB9"/>
    <w:rsid w:val="0062160D"/>
    <w:rsid w:val="0062725D"/>
    <w:rsid w:val="006430B8"/>
    <w:rsid w:val="00657A28"/>
    <w:rsid w:val="006726FA"/>
    <w:rsid w:val="00674531"/>
    <w:rsid w:val="00696536"/>
    <w:rsid w:val="006C1DAD"/>
    <w:rsid w:val="006D079B"/>
    <w:rsid w:val="006E3D93"/>
    <w:rsid w:val="007355A1"/>
    <w:rsid w:val="00745083"/>
    <w:rsid w:val="0076171E"/>
    <w:rsid w:val="00762DDD"/>
    <w:rsid w:val="00772F82"/>
    <w:rsid w:val="007752BC"/>
    <w:rsid w:val="007840E9"/>
    <w:rsid w:val="007A2804"/>
    <w:rsid w:val="007B786C"/>
    <w:rsid w:val="007C0AEA"/>
    <w:rsid w:val="007C41FD"/>
    <w:rsid w:val="00824DE7"/>
    <w:rsid w:val="0083564B"/>
    <w:rsid w:val="008557FE"/>
    <w:rsid w:val="00861A63"/>
    <w:rsid w:val="008672B5"/>
    <w:rsid w:val="008A61DA"/>
    <w:rsid w:val="008C38EC"/>
    <w:rsid w:val="008D095D"/>
    <w:rsid w:val="008E61B1"/>
    <w:rsid w:val="008F76BB"/>
    <w:rsid w:val="00911037"/>
    <w:rsid w:val="009159FE"/>
    <w:rsid w:val="009311B5"/>
    <w:rsid w:val="00950E2A"/>
    <w:rsid w:val="00953F24"/>
    <w:rsid w:val="00960F47"/>
    <w:rsid w:val="00973299"/>
    <w:rsid w:val="00973588"/>
    <w:rsid w:val="00974ECC"/>
    <w:rsid w:val="00983067"/>
    <w:rsid w:val="00986657"/>
    <w:rsid w:val="009918C0"/>
    <w:rsid w:val="009C7D9B"/>
    <w:rsid w:val="009D6FFA"/>
    <w:rsid w:val="009F4458"/>
    <w:rsid w:val="00A00CF7"/>
    <w:rsid w:val="00A02952"/>
    <w:rsid w:val="00A06579"/>
    <w:rsid w:val="00A10622"/>
    <w:rsid w:val="00A14FD3"/>
    <w:rsid w:val="00A350DF"/>
    <w:rsid w:val="00A37CA7"/>
    <w:rsid w:val="00A433FB"/>
    <w:rsid w:val="00A43A34"/>
    <w:rsid w:val="00A50CC9"/>
    <w:rsid w:val="00A5742B"/>
    <w:rsid w:val="00A60C8D"/>
    <w:rsid w:val="00A87156"/>
    <w:rsid w:val="00A92202"/>
    <w:rsid w:val="00AA5ED5"/>
    <w:rsid w:val="00AA6F63"/>
    <w:rsid w:val="00AB0AC1"/>
    <w:rsid w:val="00AB58A0"/>
    <w:rsid w:val="00AD3396"/>
    <w:rsid w:val="00AD37EA"/>
    <w:rsid w:val="00AE09B1"/>
    <w:rsid w:val="00AF3C7E"/>
    <w:rsid w:val="00AF517E"/>
    <w:rsid w:val="00B30A17"/>
    <w:rsid w:val="00B317F4"/>
    <w:rsid w:val="00B63A5C"/>
    <w:rsid w:val="00B64C97"/>
    <w:rsid w:val="00B64D23"/>
    <w:rsid w:val="00BB383E"/>
    <w:rsid w:val="00BB4D80"/>
    <w:rsid w:val="00BD0666"/>
    <w:rsid w:val="00BD4799"/>
    <w:rsid w:val="00BD78E8"/>
    <w:rsid w:val="00BE268B"/>
    <w:rsid w:val="00BE6E36"/>
    <w:rsid w:val="00C031EB"/>
    <w:rsid w:val="00C13123"/>
    <w:rsid w:val="00C14EFF"/>
    <w:rsid w:val="00C47CA0"/>
    <w:rsid w:val="00C551B8"/>
    <w:rsid w:val="00C670FA"/>
    <w:rsid w:val="00C90C01"/>
    <w:rsid w:val="00CC60B7"/>
    <w:rsid w:val="00CC731B"/>
    <w:rsid w:val="00CC771C"/>
    <w:rsid w:val="00CF19CB"/>
    <w:rsid w:val="00CF2D2C"/>
    <w:rsid w:val="00D13EBF"/>
    <w:rsid w:val="00D336DD"/>
    <w:rsid w:val="00D533B9"/>
    <w:rsid w:val="00D64814"/>
    <w:rsid w:val="00D754A5"/>
    <w:rsid w:val="00DA0703"/>
    <w:rsid w:val="00DA3BE4"/>
    <w:rsid w:val="00DB596F"/>
    <w:rsid w:val="00DC6422"/>
    <w:rsid w:val="00DD4767"/>
    <w:rsid w:val="00DE7CCB"/>
    <w:rsid w:val="00E43A2D"/>
    <w:rsid w:val="00EA3B1B"/>
    <w:rsid w:val="00EA5374"/>
    <w:rsid w:val="00EB4B93"/>
    <w:rsid w:val="00EB7257"/>
    <w:rsid w:val="00EC5AAF"/>
    <w:rsid w:val="00ED3F03"/>
    <w:rsid w:val="00EE50A0"/>
    <w:rsid w:val="00EE5262"/>
    <w:rsid w:val="00EF0DF2"/>
    <w:rsid w:val="00EF3CA7"/>
    <w:rsid w:val="00F06D8D"/>
    <w:rsid w:val="00F11AAC"/>
    <w:rsid w:val="00F13905"/>
    <w:rsid w:val="00F2068F"/>
    <w:rsid w:val="00F25B1D"/>
    <w:rsid w:val="00F2670F"/>
    <w:rsid w:val="00F272FB"/>
    <w:rsid w:val="00F416AE"/>
    <w:rsid w:val="00F47095"/>
    <w:rsid w:val="00F732B7"/>
    <w:rsid w:val="00F7333F"/>
    <w:rsid w:val="00F7651C"/>
    <w:rsid w:val="00F81CF7"/>
    <w:rsid w:val="00F849E4"/>
    <w:rsid w:val="00F85868"/>
    <w:rsid w:val="00F8709B"/>
    <w:rsid w:val="00F875A3"/>
    <w:rsid w:val="00F91E46"/>
    <w:rsid w:val="00F924B8"/>
    <w:rsid w:val="00FB0D1B"/>
    <w:rsid w:val="00FC7ADA"/>
    <w:rsid w:val="00FD2F1E"/>
    <w:rsid w:val="00FE1B84"/>
    <w:rsid w:val="00FE446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9D65D"/>
  <w15:docId w15:val="{AA827A26-DB3F-449D-A102-AF82318B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8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86657"/>
    <w:pPr>
      <w:adjustRightInd w:val="0"/>
      <w:snapToGrid w:val="0"/>
      <w:spacing w:before="120" w:after="120"/>
    </w:pPr>
    <w:rPr>
      <w:rFonts w:ascii="Arial" w:eastAsia="MS Mincho" w:hAnsi="Arial" w:cs="Times New Roman"/>
      <w:sz w:val="20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semiHidden/>
    <w:qFormat/>
    <w:rsid w:val="00CF19CB"/>
    <w:pPr>
      <w:numPr>
        <w:numId w:val="3"/>
      </w:numPr>
      <w:adjustRightInd/>
      <w:snapToGrid/>
      <w:outlineLvl w:val="0"/>
    </w:pPr>
    <w:rPr>
      <w:rFonts w:eastAsiaTheme="majorEastAsia" w:cstheme="majorBidi"/>
      <w:bCs/>
      <w:szCs w:val="28"/>
      <w:lang w:eastAsia="en-US"/>
    </w:rPr>
  </w:style>
  <w:style w:type="paragraph" w:styleId="Heading2">
    <w:name w:val="heading 2"/>
    <w:basedOn w:val="Normal"/>
    <w:link w:val="Heading2Char"/>
    <w:uiPriority w:val="9"/>
    <w:semiHidden/>
    <w:qFormat/>
    <w:rsid w:val="00CF19CB"/>
    <w:pPr>
      <w:numPr>
        <w:ilvl w:val="1"/>
        <w:numId w:val="3"/>
      </w:numPr>
      <w:adjustRightInd/>
      <w:snapToGrid/>
      <w:outlineLvl w:val="1"/>
    </w:pPr>
    <w:rPr>
      <w:rFonts w:eastAsiaTheme="majorEastAsia" w:cstheme="majorBidi"/>
      <w:bCs/>
      <w:szCs w:val="26"/>
      <w:lang w:eastAsia="en-US"/>
    </w:rPr>
  </w:style>
  <w:style w:type="paragraph" w:styleId="Heading3">
    <w:name w:val="heading 3"/>
    <w:basedOn w:val="Normal"/>
    <w:link w:val="Heading3Char"/>
    <w:uiPriority w:val="9"/>
    <w:semiHidden/>
    <w:qFormat/>
    <w:rsid w:val="00CF19CB"/>
    <w:pPr>
      <w:numPr>
        <w:ilvl w:val="2"/>
        <w:numId w:val="3"/>
      </w:numPr>
      <w:adjustRightInd/>
      <w:snapToGrid/>
      <w:spacing w:line="281" w:lineRule="auto"/>
      <w:outlineLvl w:val="2"/>
    </w:pPr>
    <w:rPr>
      <w:rFonts w:eastAsiaTheme="majorEastAsia" w:cstheme="majorBidi"/>
      <w:bCs/>
      <w:szCs w:val="22"/>
      <w:lang w:eastAsia="en-US"/>
    </w:rPr>
  </w:style>
  <w:style w:type="paragraph" w:styleId="Heading4">
    <w:name w:val="heading 4"/>
    <w:basedOn w:val="Normal"/>
    <w:link w:val="Heading4Char"/>
    <w:uiPriority w:val="9"/>
    <w:semiHidden/>
    <w:qFormat/>
    <w:rsid w:val="00CF19CB"/>
    <w:pPr>
      <w:numPr>
        <w:ilvl w:val="3"/>
        <w:numId w:val="3"/>
      </w:numPr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link w:val="Heading5Char"/>
    <w:uiPriority w:val="9"/>
    <w:semiHidden/>
    <w:qFormat/>
    <w:rsid w:val="00CF19CB"/>
    <w:pPr>
      <w:numPr>
        <w:ilvl w:val="4"/>
        <w:numId w:val="3"/>
      </w:numPr>
      <w:spacing w:line="280" w:lineRule="auto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link w:val="Heading6Char"/>
    <w:uiPriority w:val="9"/>
    <w:semiHidden/>
    <w:qFormat/>
    <w:rsid w:val="00CF19CB"/>
    <w:pPr>
      <w:numPr>
        <w:ilvl w:val="5"/>
        <w:numId w:val="3"/>
      </w:numPr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link w:val="Heading7Char"/>
    <w:uiPriority w:val="9"/>
    <w:semiHidden/>
    <w:qFormat/>
    <w:rsid w:val="00CF19CB"/>
    <w:pPr>
      <w:numPr>
        <w:ilvl w:val="6"/>
        <w:numId w:val="3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link w:val="Heading8Char"/>
    <w:uiPriority w:val="9"/>
    <w:semiHidden/>
    <w:qFormat/>
    <w:rsid w:val="00CF19CB"/>
    <w:pPr>
      <w:numPr>
        <w:ilvl w:val="7"/>
        <w:numId w:val="3"/>
      </w:numPr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link w:val="Heading9Char"/>
    <w:uiPriority w:val="9"/>
    <w:semiHidden/>
    <w:qFormat/>
    <w:rsid w:val="00CF19CB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F19CB"/>
    <w:pPr>
      <w:tabs>
        <w:tab w:val="center" w:pos="4680"/>
        <w:tab w:val="right" w:pos="9360"/>
      </w:tabs>
      <w:adjustRightInd/>
      <w:snapToGrid/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rketingBase">
    <w:name w:val="Marketing Base"/>
    <w:semiHidden/>
    <w:rsid w:val="00CF19CB"/>
    <w:pPr>
      <w:spacing w:before="120" w:after="120" w:line="360" w:lineRule="auto"/>
    </w:pPr>
    <w:rPr>
      <w:rFonts w:ascii="Arial" w:hAnsi="Arial"/>
      <w:sz w:val="20"/>
    </w:rPr>
  </w:style>
  <w:style w:type="paragraph" w:customStyle="1" w:styleId="MarketingBody">
    <w:name w:val="Marketing Body"/>
    <w:basedOn w:val="MarketingBase"/>
    <w:link w:val="MarketingBodyChar"/>
    <w:uiPriority w:val="1"/>
    <w:qFormat/>
    <w:rsid w:val="00CF19CB"/>
    <w:pPr>
      <w:spacing w:line="276" w:lineRule="auto"/>
    </w:pPr>
  </w:style>
  <w:style w:type="paragraph" w:customStyle="1" w:styleId="MarketingBodyBlock">
    <w:name w:val="Marketing BodyBlock"/>
    <w:basedOn w:val="MarketingBody"/>
    <w:uiPriority w:val="1"/>
    <w:qFormat/>
    <w:rsid w:val="00CF19CB"/>
    <w:pPr>
      <w:ind w:left="720" w:right="720"/>
    </w:pPr>
  </w:style>
  <w:style w:type="paragraph" w:customStyle="1" w:styleId="MarketingBullet">
    <w:name w:val="Marketing Bullet"/>
    <w:basedOn w:val="Normal"/>
    <w:uiPriority w:val="16"/>
    <w:qFormat/>
    <w:rsid w:val="00CF19CB"/>
    <w:pPr>
      <w:numPr>
        <w:numId w:val="2"/>
      </w:numPr>
      <w:adjustRightInd/>
      <w:snapToGrid/>
      <w:ind w:left="270" w:hanging="270"/>
      <w:textboxTightWrap w:val="allLines"/>
    </w:pPr>
    <w:rPr>
      <w:rFonts w:eastAsia="Times New Roman" w:cs="Arial"/>
      <w:szCs w:val="20"/>
      <w:lang w:eastAsia="en-US"/>
    </w:rPr>
  </w:style>
  <w:style w:type="paragraph" w:customStyle="1" w:styleId="MarketingBulletSub">
    <w:name w:val="Marketing BulletSub"/>
    <w:basedOn w:val="Normal"/>
    <w:uiPriority w:val="18"/>
    <w:qFormat/>
    <w:rsid w:val="00CF19CB"/>
    <w:pPr>
      <w:numPr>
        <w:ilvl w:val="1"/>
        <w:numId w:val="2"/>
      </w:numPr>
      <w:adjustRightInd/>
      <w:snapToGrid/>
      <w:ind w:left="630" w:hanging="270"/>
      <w:textboxTightWrap w:val="allLines"/>
    </w:pPr>
    <w:rPr>
      <w:rFonts w:eastAsia="Times New Roman" w:cs="Arial"/>
      <w:szCs w:val="20"/>
      <w:lang w:eastAsia="en-US"/>
    </w:rPr>
  </w:style>
  <w:style w:type="paragraph" w:customStyle="1" w:styleId="MarketingHeading1">
    <w:name w:val="Marketing Heading 1"/>
    <w:basedOn w:val="MarketingBase"/>
    <w:next w:val="MarketingBody"/>
    <w:uiPriority w:val="9"/>
    <w:qFormat/>
    <w:rsid w:val="00CF19CB"/>
    <w:pPr>
      <w:pBdr>
        <w:bottom w:val="single" w:sz="12" w:space="1" w:color="002856" w:themeColor="text1"/>
      </w:pBdr>
      <w:spacing w:before="240" w:line="240" w:lineRule="auto"/>
    </w:pPr>
    <w:rPr>
      <w:color w:val="002856" w:themeColor="text1"/>
      <w:sz w:val="40"/>
    </w:rPr>
  </w:style>
  <w:style w:type="paragraph" w:customStyle="1" w:styleId="MarketingHeading2">
    <w:name w:val="Marketing Heading 2"/>
    <w:basedOn w:val="MarketingBase"/>
    <w:next w:val="MarketingBody"/>
    <w:uiPriority w:val="9"/>
    <w:qFormat/>
    <w:rsid w:val="00CF19CB"/>
    <w:pPr>
      <w:spacing w:before="240" w:after="60" w:line="240" w:lineRule="auto"/>
    </w:pPr>
    <w:rPr>
      <w:rFonts w:cs="Arial"/>
      <w:b/>
      <w:color w:val="004F8E" w:themeColor="accent2"/>
      <w:sz w:val="32"/>
    </w:rPr>
  </w:style>
  <w:style w:type="paragraph" w:customStyle="1" w:styleId="MarketingHeading2B">
    <w:name w:val="Marketing Heading 2B"/>
    <w:basedOn w:val="MarketingBase"/>
    <w:next w:val="MarketingBody"/>
    <w:uiPriority w:val="1"/>
    <w:semiHidden/>
    <w:rsid w:val="00CF19CB"/>
    <w:pPr>
      <w:spacing w:before="240" w:after="60" w:line="240" w:lineRule="auto"/>
    </w:pPr>
    <w:rPr>
      <w:rFonts w:ascii="Trebuchet MS" w:hAnsi="Trebuchet MS"/>
      <w:b/>
      <w:color w:val="133362"/>
      <w:sz w:val="28"/>
    </w:rPr>
  </w:style>
  <w:style w:type="paragraph" w:customStyle="1" w:styleId="MarketingHeading3">
    <w:name w:val="Marketing Heading 3"/>
    <w:basedOn w:val="MarketingBase"/>
    <w:next w:val="MarketingBody"/>
    <w:uiPriority w:val="9"/>
    <w:qFormat/>
    <w:rsid w:val="0009175B"/>
    <w:pPr>
      <w:spacing w:before="240" w:after="60" w:line="240" w:lineRule="auto"/>
    </w:pPr>
    <w:rPr>
      <w:rFonts w:cs="Arial"/>
      <w:b/>
      <w:color w:val="27AAE1" w:themeColor="accent1"/>
      <w:sz w:val="28"/>
    </w:rPr>
  </w:style>
  <w:style w:type="paragraph" w:customStyle="1" w:styleId="MarketingHeading3B">
    <w:name w:val="Marketing Heading 3B"/>
    <w:basedOn w:val="MarketingBase"/>
    <w:next w:val="MarketingBody"/>
    <w:uiPriority w:val="1"/>
    <w:semiHidden/>
    <w:rsid w:val="00CF19CB"/>
    <w:pPr>
      <w:spacing w:before="240" w:after="60" w:line="240" w:lineRule="auto"/>
    </w:pPr>
    <w:rPr>
      <w:rFonts w:ascii="Trebuchet MS" w:hAnsi="Trebuchet MS"/>
      <w:b/>
      <w:i/>
      <w:color w:val="365FB9"/>
      <w:sz w:val="24"/>
    </w:rPr>
  </w:style>
  <w:style w:type="paragraph" w:customStyle="1" w:styleId="MarketingHeading4">
    <w:name w:val="Marketing Heading 4"/>
    <w:basedOn w:val="MarketingBase"/>
    <w:next w:val="MarketingBody"/>
    <w:uiPriority w:val="9"/>
    <w:qFormat/>
    <w:rsid w:val="00CF19CB"/>
    <w:pPr>
      <w:spacing w:before="240" w:after="60" w:line="240" w:lineRule="auto"/>
    </w:pPr>
    <w:rPr>
      <w:rFonts w:cs="Arial"/>
      <w:b/>
      <w:color w:val="773377" w:themeColor="accent3"/>
      <w:sz w:val="24"/>
    </w:rPr>
  </w:style>
  <w:style w:type="paragraph" w:customStyle="1" w:styleId="MarketingTitle">
    <w:name w:val="Marketing Title"/>
    <w:basedOn w:val="MarketingBase"/>
    <w:next w:val="MarketingTOC"/>
    <w:uiPriority w:val="39"/>
    <w:qFormat/>
    <w:rsid w:val="00CF19CB"/>
    <w:pPr>
      <w:spacing w:before="0" w:after="240" w:line="240" w:lineRule="auto"/>
      <w:jc w:val="center"/>
    </w:pPr>
    <w:rPr>
      <w:b/>
      <w:sz w:val="36"/>
    </w:rPr>
  </w:style>
  <w:style w:type="paragraph" w:customStyle="1" w:styleId="MarketingTOC">
    <w:name w:val="Marketing TOC"/>
    <w:basedOn w:val="MarketingBase"/>
    <w:next w:val="MarketingBody"/>
    <w:uiPriority w:val="39"/>
    <w:rsid w:val="00CF19CB"/>
    <w:pPr>
      <w:jc w:val="center"/>
    </w:pPr>
    <w:rPr>
      <w:b/>
      <w:color w:val="808080"/>
      <w:sz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19CB"/>
  </w:style>
  <w:style w:type="paragraph" w:styleId="Footer">
    <w:name w:val="footer"/>
    <w:basedOn w:val="Normal"/>
    <w:link w:val="FooterChar"/>
    <w:uiPriority w:val="99"/>
    <w:semiHidden/>
    <w:rsid w:val="00CF19CB"/>
    <w:pPr>
      <w:tabs>
        <w:tab w:val="center" w:pos="4680"/>
        <w:tab w:val="right" w:pos="9360"/>
      </w:tabs>
      <w:adjustRightInd/>
      <w:snapToGrid/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19CB"/>
  </w:style>
  <w:style w:type="paragraph" w:styleId="BalloonText">
    <w:name w:val="Balloon Text"/>
    <w:basedOn w:val="Normal"/>
    <w:link w:val="BalloonTextChar"/>
    <w:uiPriority w:val="99"/>
    <w:semiHidden/>
    <w:rsid w:val="00CF19CB"/>
    <w:pPr>
      <w:adjustRightInd/>
      <w:snapToGrid/>
      <w:spacing w:before="0"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9CB"/>
    <w:rPr>
      <w:rFonts w:ascii="Tahoma" w:hAnsi="Tahoma" w:cs="Tahoma"/>
      <w:sz w:val="16"/>
      <w:szCs w:val="16"/>
    </w:rPr>
  </w:style>
  <w:style w:type="paragraph" w:customStyle="1" w:styleId="MarketingFooter">
    <w:name w:val="Marketing Footer"/>
    <w:basedOn w:val="MarketingBase"/>
    <w:link w:val="MarketingFooterChar"/>
    <w:uiPriority w:val="99"/>
    <w:rsid w:val="00CF19CB"/>
    <w:pPr>
      <w:jc w:val="right"/>
    </w:pPr>
    <w:rPr>
      <w:rFonts w:cs="Arial"/>
      <w:color w:val="002856" w:themeColor="text1"/>
      <w:sz w:val="18"/>
    </w:rPr>
  </w:style>
  <w:style w:type="character" w:customStyle="1" w:styleId="MarketingFooterChar">
    <w:name w:val="Marketing Footer Char"/>
    <w:basedOn w:val="FooterChar"/>
    <w:link w:val="MarketingFooter"/>
    <w:uiPriority w:val="99"/>
    <w:rsid w:val="00CF19CB"/>
    <w:rPr>
      <w:rFonts w:ascii="Arial" w:hAnsi="Arial" w:cs="Arial"/>
      <w:color w:val="002856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7C41FD"/>
    <w:rPr>
      <w:rFonts w:ascii="Arial" w:eastAsiaTheme="majorEastAsia" w:hAnsi="Arial" w:cstheme="majorBidi"/>
      <w:bCs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1FD"/>
    <w:rPr>
      <w:rFonts w:ascii="Arial" w:eastAsiaTheme="majorEastAsia" w:hAnsi="Arial" w:cstheme="majorBidi"/>
      <w:bCs/>
      <w:sz w:val="20"/>
      <w:szCs w:val="26"/>
    </w:rPr>
  </w:style>
  <w:style w:type="paragraph" w:customStyle="1" w:styleId="MarketingFootnoteEndnote">
    <w:name w:val="Marketing Footnote_Endnote"/>
    <w:basedOn w:val="MarketingBody"/>
    <w:uiPriority w:val="99"/>
    <w:rsid w:val="00CF19CB"/>
    <w:pPr>
      <w:spacing w:line="240" w:lineRule="auto"/>
    </w:pPr>
    <w:rPr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1FD"/>
    <w:rPr>
      <w:rFonts w:ascii="Arial" w:eastAsiaTheme="majorEastAsia" w:hAnsi="Arial" w:cstheme="majorBidi"/>
      <w:bCs/>
      <w:sz w:val="20"/>
    </w:rPr>
  </w:style>
  <w:style w:type="character" w:styleId="Hyperlink">
    <w:name w:val="Hyperlink"/>
    <w:basedOn w:val="DefaultParagraphFont"/>
    <w:uiPriority w:val="99"/>
    <w:unhideWhenUsed/>
    <w:rsid w:val="00CF19CB"/>
    <w:rPr>
      <w:color w:val="0563C1" w:themeColor="hyperlink"/>
      <w:u w:val="single"/>
    </w:rPr>
  </w:style>
  <w:style w:type="paragraph" w:styleId="TOC1">
    <w:name w:val="toc 1"/>
    <w:basedOn w:val="Normal"/>
    <w:next w:val="Normal"/>
    <w:uiPriority w:val="39"/>
    <w:rsid w:val="00CF19CB"/>
    <w:pPr>
      <w:tabs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uiPriority w:val="39"/>
    <w:rsid w:val="00CF19CB"/>
    <w:pPr>
      <w:tabs>
        <w:tab w:val="right" w:leader="dot" w:pos="9360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uiPriority w:val="39"/>
    <w:rsid w:val="00CF19CB"/>
    <w:pPr>
      <w:tabs>
        <w:tab w:val="right" w:leader="dot" w:pos="9360"/>
      </w:tabs>
      <w:spacing w:after="100"/>
      <w:ind w:left="440"/>
    </w:pPr>
  </w:style>
  <w:style w:type="paragraph" w:styleId="TOC4">
    <w:name w:val="toc 4"/>
    <w:basedOn w:val="Normal"/>
    <w:next w:val="Normal"/>
    <w:uiPriority w:val="39"/>
    <w:rsid w:val="00CF19CB"/>
    <w:pPr>
      <w:tabs>
        <w:tab w:val="right" w:leader="dot" w:pos="9360"/>
      </w:tabs>
      <w:spacing w:after="100"/>
      <w:ind w:left="660"/>
    </w:pPr>
  </w:style>
  <w:style w:type="character" w:styleId="Emphasis">
    <w:name w:val="Emphasis"/>
    <w:basedOn w:val="DefaultParagraphFont"/>
    <w:uiPriority w:val="20"/>
    <w:qFormat/>
    <w:rsid w:val="00CF19CB"/>
    <w:rPr>
      <w:rFonts w:ascii="Arial" w:hAnsi="Arial"/>
      <w:i/>
      <w:iCs/>
      <w:color w:val="773377" w:themeColor="accent3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F19CB"/>
    <w:pPr>
      <w:adjustRightInd/>
      <w:snapToGrid/>
      <w:spacing w:before="200" w:after="160"/>
      <w:ind w:left="864" w:right="864"/>
      <w:jc w:val="center"/>
    </w:pPr>
    <w:rPr>
      <w:rFonts w:eastAsiaTheme="minorHAnsi" w:cstheme="minorBidi"/>
      <w:i/>
      <w:iCs/>
      <w:color w:val="773377" w:themeColor="accent3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F19CB"/>
    <w:rPr>
      <w:rFonts w:ascii="Arial" w:hAnsi="Arial"/>
      <w:i/>
      <w:iCs/>
      <w:color w:val="773377" w:themeColor="accent3"/>
    </w:rPr>
  </w:style>
  <w:style w:type="character" w:styleId="Strong">
    <w:name w:val="Strong"/>
    <w:basedOn w:val="DefaultParagraphFont"/>
    <w:uiPriority w:val="22"/>
    <w:qFormat/>
    <w:rsid w:val="00CF19CB"/>
    <w:rPr>
      <w:rFonts w:ascii="Arial" w:hAnsi="Arial"/>
      <w:b/>
      <w:bCs/>
      <w:i/>
      <w:color w:val="27AAE1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F19CB"/>
    <w:pPr>
      <w:numPr>
        <w:ilvl w:val="1"/>
      </w:numPr>
      <w:adjustRightInd/>
      <w:snapToGrid/>
      <w:spacing w:before="0" w:after="160"/>
    </w:pPr>
    <w:rPr>
      <w:rFonts w:eastAsiaTheme="minorEastAsia" w:cstheme="minorBidi"/>
      <w:b/>
      <w:color w:val="004F8E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F19CB"/>
    <w:rPr>
      <w:rFonts w:ascii="Arial" w:eastAsiaTheme="minorEastAsia" w:hAnsi="Arial"/>
      <w:b/>
      <w:color w:val="004F8E"/>
      <w:spacing w:val="15"/>
    </w:rPr>
  </w:style>
  <w:style w:type="character" w:styleId="SubtleEmphasis">
    <w:name w:val="Subtle Emphasis"/>
    <w:basedOn w:val="DefaultParagraphFont"/>
    <w:uiPriority w:val="19"/>
    <w:qFormat/>
    <w:rsid w:val="00CF19CB"/>
    <w:rPr>
      <w:rFonts w:ascii="Arial" w:hAnsi="Arial"/>
      <w:b w:val="0"/>
      <w:i/>
      <w:iCs/>
      <w:color w:val="004F8E" w:themeColor="accent2"/>
      <w:sz w:val="20"/>
    </w:rPr>
  </w:style>
  <w:style w:type="character" w:styleId="SubtleReference">
    <w:name w:val="Subtle Reference"/>
    <w:basedOn w:val="DefaultParagraphFont"/>
    <w:uiPriority w:val="31"/>
    <w:qFormat/>
    <w:rsid w:val="00CF19CB"/>
    <w:rPr>
      <w:rFonts w:ascii="Arial" w:hAnsi="Arial"/>
      <w:smallCaps/>
      <w:color w:val="004F8E" w:themeColor="accent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9CB"/>
    <w:pPr>
      <w:pBdr>
        <w:top w:val="single" w:sz="4" w:space="6" w:color="27AAE1" w:themeColor="accent1"/>
        <w:bottom w:val="single" w:sz="4" w:space="6" w:color="27AAE1" w:themeColor="accent1"/>
      </w:pBdr>
      <w:adjustRightInd/>
      <w:snapToGrid/>
      <w:spacing w:before="360" w:after="360"/>
      <w:ind w:left="864" w:right="864"/>
      <w:jc w:val="center"/>
    </w:pPr>
    <w:rPr>
      <w:rFonts w:eastAsiaTheme="minorHAnsi" w:cstheme="minorBidi"/>
      <w:b/>
      <w:i/>
      <w:iCs/>
      <w:color w:val="773377" w:themeColor="accent3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9CB"/>
    <w:rPr>
      <w:rFonts w:ascii="Arial" w:hAnsi="Arial"/>
      <w:b/>
      <w:i/>
      <w:iCs/>
      <w:color w:val="773377" w:themeColor="accent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1FD"/>
    <w:rPr>
      <w:rFonts w:ascii="Arial" w:eastAsiaTheme="majorEastAsia" w:hAnsi="Arial" w:cstheme="majorBidi"/>
      <w:iCs/>
      <w:sz w:val="20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1FD"/>
    <w:rPr>
      <w:rFonts w:ascii="Arial" w:eastAsiaTheme="majorEastAsia" w:hAnsi="Arial" w:cstheme="majorBidi"/>
      <w:sz w:val="20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1FD"/>
    <w:rPr>
      <w:rFonts w:ascii="Arial" w:eastAsiaTheme="majorEastAsia" w:hAnsi="Arial" w:cstheme="majorBidi"/>
      <w:sz w:val="20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1FD"/>
    <w:rPr>
      <w:rFonts w:ascii="Arial" w:eastAsiaTheme="majorEastAsia" w:hAnsi="Arial" w:cstheme="majorBidi"/>
      <w:iCs/>
      <w:sz w:val="20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1FD"/>
    <w:rPr>
      <w:rFonts w:ascii="Arial" w:eastAsiaTheme="majorEastAsia" w:hAnsi="Arial" w:cstheme="majorBidi"/>
      <w:sz w:val="20"/>
      <w:szCs w:val="21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1FD"/>
    <w:rPr>
      <w:rFonts w:ascii="Arial" w:eastAsiaTheme="majorEastAsia" w:hAnsi="Arial" w:cstheme="majorBidi"/>
      <w:iCs/>
      <w:sz w:val="20"/>
      <w:szCs w:val="21"/>
      <w:lang w:eastAsia="ja-JP"/>
    </w:rPr>
  </w:style>
  <w:style w:type="paragraph" w:styleId="NoSpacing">
    <w:name w:val="No Spacing"/>
    <w:uiPriority w:val="1"/>
    <w:semiHidden/>
    <w:qFormat/>
    <w:rsid w:val="00CF19CB"/>
    <w:pPr>
      <w:adjustRightInd w:val="0"/>
      <w:snapToGrid w:val="0"/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CF19CB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F19C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styleId="BookTitle">
    <w:name w:val="Book Title"/>
    <w:basedOn w:val="DefaultParagraphFont"/>
    <w:uiPriority w:val="33"/>
    <w:semiHidden/>
    <w:qFormat/>
    <w:rsid w:val="00CF19CB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semiHidden/>
    <w:qFormat/>
    <w:rsid w:val="00CF1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9CB"/>
    <w:rPr>
      <w:rFonts w:ascii="Arial" w:hAnsi="Arial"/>
      <w:i/>
      <w:iCs/>
      <w:color w:val="27AAE1" w:themeColor="accent1"/>
      <w:sz w:val="20"/>
    </w:rPr>
  </w:style>
  <w:style w:type="character" w:styleId="IntenseReference">
    <w:name w:val="Intense Reference"/>
    <w:basedOn w:val="DefaultParagraphFont"/>
    <w:uiPriority w:val="32"/>
    <w:qFormat/>
    <w:rsid w:val="00CF19CB"/>
    <w:rPr>
      <w:rFonts w:ascii="Arial" w:hAnsi="Arial"/>
      <w:b/>
      <w:bCs/>
      <w:smallCaps/>
      <w:color w:val="27AAE1" w:themeColor="accent1"/>
      <w:spacing w:val="5"/>
      <w:sz w:val="20"/>
    </w:rPr>
  </w:style>
  <w:style w:type="paragraph" w:customStyle="1" w:styleId="MarketingBulletContinue">
    <w:name w:val="Marketing Bullet Continue"/>
    <w:basedOn w:val="Normal"/>
    <w:uiPriority w:val="16"/>
    <w:semiHidden/>
    <w:qFormat/>
    <w:rsid w:val="00CF19CB"/>
    <w:pPr>
      <w:suppressAutoHyphens/>
      <w:ind w:left="270"/>
      <w:textboxTightWrap w:val="allLines"/>
    </w:pPr>
  </w:style>
  <w:style w:type="paragraph" w:customStyle="1" w:styleId="MarketingBulletSubContinue">
    <w:name w:val="Marketing BulletSub Continue"/>
    <w:basedOn w:val="Normal"/>
    <w:uiPriority w:val="18"/>
    <w:semiHidden/>
    <w:qFormat/>
    <w:rsid w:val="00CF19CB"/>
    <w:pPr>
      <w:suppressAutoHyphens/>
      <w:ind w:left="720"/>
      <w:textboxTightWrap w:val="allLines"/>
    </w:pPr>
  </w:style>
  <w:style w:type="table" w:customStyle="1" w:styleId="PlainTableNoBorders">
    <w:name w:val="Plain Table No Borders"/>
    <w:basedOn w:val="TableNormal"/>
    <w:uiPriority w:val="99"/>
    <w:rsid w:val="00CF1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NoBorders0LeftCellMargin">
    <w:name w:val="No Borders 0 Left Cell Margin"/>
    <w:basedOn w:val="TableNormal"/>
    <w:uiPriority w:val="99"/>
    <w:rsid w:val="00CF1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tcMar>
        <w:left w:w="0" w:type="dxa"/>
        <w:right w:w="115" w:type="dxa"/>
      </w:tcMar>
    </w:tcPr>
  </w:style>
  <w:style w:type="table" w:styleId="TableGrid">
    <w:name w:val="Table Grid"/>
    <w:basedOn w:val="TableNormal"/>
    <w:uiPriority w:val="59"/>
    <w:semiHidden/>
    <w:rsid w:val="00CF1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F19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F19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19CB"/>
    <w:pPr>
      <w:spacing w:after="0" w:line="240" w:lineRule="auto"/>
    </w:pPr>
    <w:tblPr>
      <w:tblStyleRowBandSize w:val="1"/>
      <w:tblStyleColBandSize w:val="1"/>
      <w:tblBorders>
        <w:top w:val="single" w:sz="4" w:space="0" w:color="2A8CFF" w:themeColor="text1" w:themeTint="80"/>
        <w:bottom w:val="single" w:sz="4" w:space="0" w:color="2A8C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A8C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A8C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A8CFF" w:themeColor="text1" w:themeTint="80"/>
          <w:right w:val="single" w:sz="4" w:space="0" w:color="2A8CFF" w:themeColor="text1" w:themeTint="80"/>
        </w:tcBorders>
      </w:tcPr>
    </w:tblStylePr>
    <w:tblStylePr w:type="band2Vert">
      <w:tblPr/>
      <w:tcPr>
        <w:tcBorders>
          <w:left w:val="single" w:sz="4" w:space="0" w:color="2A8CFF" w:themeColor="text1" w:themeTint="80"/>
          <w:right w:val="single" w:sz="4" w:space="0" w:color="2A8CFF" w:themeColor="text1" w:themeTint="80"/>
        </w:tcBorders>
      </w:tcPr>
    </w:tblStylePr>
    <w:tblStylePr w:type="band1Horz">
      <w:tblPr/>
      <w:tcPr>
        <w:tcBorders>
          <w:top w:val="single" w:sz="4" w:space="0" w:color="2A8CFF" w:themeColor="text1" w:themeTint="80"/>
          <w:bottom w:val="single" w:sz="4" w:space="0" w:color="2A8CFF" w:themeColor="text1" w:themeTint="80"/>
        </w:tcBorders>
      </w:tcPr>
    </w:tblStylePr>
  </w:style>
  <w:style w:type="paragraph" w:customStyle="1" w:styleId="MarketingBullet4">
    <w:name w:val="Marketing Bullet 4"/>
    <w:basedOn w:val="MarketingBulletSub"/>
    <w:uiPriority w:val="19"/>
    <w:semiHidden/>
    <w:qFormat/>
    <w:rsid w:val="00CF19CB"/>
    <w:pPr>
      <w:ind w:left="1350"/>
    </w:pPr>
  </w:style>
  <w:style w:type="paragraph" w:customStyle="1" w:styleId="MarketingBullet3">
    <w:name w:val="Marketing Bullet 3"/>
    <w:basedOn w:val="MarketingBullet"/>
    <w:uiPriority w:val="19"/>
    <w:semiHidden/>
    <w:qFormat/>
    <w:rsid w:val="00CF19CB"/>
    <w:pPr>
      <w:numPr>
        <w:ilvl w:val="1"/>
        <w:numId w:val="1"/>
      </w:numPr>
      <w:ind w:left="990" w:hanging="270"/>
    </w:pPr>
  </w:style>
  <w:style w:type="paragraph" w:customStyle="1" w:styleId="MarketingBullet5">
    <w:name w:val="Marketing Bullet 5"/>
    <w:basedOn w:val="MarketingBullet3"/>
    <w:uiPriority w:val="19"/>
    <w:semiHidden/>
    <w:qFormat/>
    <w:rsid w:val="00CF19CB"/>
    <w:pPr>
      <w:ind w:left="1710"/>
    </w:pPr>
  </w:style>
  <w:style w:type="paragraph" w:customStyle="1" w:styleId="MarketingBullet6">
    <w:name w:val="Marketing Bullet 6"/>
    <w:basedOn w:val="MarketingBullet4"/>
    <w:uiPriority w:val="19"/>
    <w:semiHidden/>
    <w:qFormat/>
    <w:rsid w:val="00CF19CB"/>
    <w:pPr>
      <w:ind w:left="2070"/>
    </w:pPr>
  </w:style>
  <w:style w:type="paragraph" w:customStyle="1" w:styleId="MarketingBullet7">
    <w:name w:val="Marketing Bullet 7"/>
    <w:basedOn w:val="MarketingBullet5"/>
    <w:uiPriority w:val="19"/>
    <w:semiHidden/>
    <w:rsid w:val="00CF19CB"/>
    <w:pPr>
      <w:ind w:left="2430"/>
    </w:pPr>
  </w:style>
  <w:style w:type="paragraph" w:customStyle="1" w:styleId="MarketingBullet8">
    <w:name w:val="Marketing Bullet 8"/>
    <w:basedOn w:val="MarketingBullet6"/>
    <w:uiPriority w:val="19"/>
    <w:semiHidden/>
    <w:rsid w:val="00CF19CB"/>
    <w:pPr>
      <w:ind w:left="2790"/>
    </w:pPr>
  </w:style>
  <w:style w:type="paragraph" w:styleId="BodyText">
    <w:name w:val="Body Text"/>
    <w:basedOn w:val="Normal"/>
    <w:link w:val="BodyTextChar"/>
    <w:uiPriority w:val="99"/>
    <w:unhideWhenUsed/>
    <w:rsid w:val="00CF19CB"/>
  </w:style>
  <w:style w:type="character" w:customStyle="1" w:styleId="BodyTextChar">
    <w:name w:val="Body Text Char"/>
    <w:basedOn w:val="DefaultParagraphFont"/>
    <w:link w:val="BodyText"/>
    <w:uiPriority w:val="99"/>
    <w:rsid w:val="00CF19CB"/>
    <w:rPr>
      <w:rFonts w:ascii="Arial" w:eastAsia="MS Mincho" w:hAnsi="Arial" w:cs="Times New Roman"/>
      <w:sz w:val="20"/>
      <w:szCs w:val="24"/>
      <w:lang w:eastAsia="ja-JP"/>
    </w:rPr>
  </w:style>
  <w:style w:type="character" w:customStyle="1" w:styleId="MarketingBodyChar">
    <w:name w:val="Marketing Body Char"/>
    <w:link w:val="MarketingBody"/>
    <w:uiPriority w:val="1"/>
    <w:locked/>
    <w:rsid w:val="00C90C01"/>
    <w:rPr>
      <w:rFonts w:ascii="Arial" w:hAnsi="Arial"/>
      <w:sz w:val="20"/>
    </w:rPr>
  </w:style>
  <w:style w:type="paragraph" w:customStyle="1" w:styleId="BioContactInformation">
    <w:name w:val="Bio Contact Information"/>
    <w:basedOn w:val="Normal"/>
    <w:uiPriority w:val="31"/>
    <w:qFormat/>
    <w:rsid w:val="00C90C01"/>
    <w:pPr>
      <w:adjustRightInd/>
      <w:snapToGrid/>
      <w:spacing w:before="0" w:after="60" w:line="240" w:lineRule="auto"/>
      <w:jc w:val="center"/>
    </w:pPr>
    <w:rPr>
      <w:rFonts w:eastAsia="Times New Roman" w:cs="Arial"/>
      <w:color w:val="004F8E"/>
      <w:kern w:val="24"/>
      <w:sz w:val="18"/>
      <w:szCs w:val="18"/>
      <w:lang w:eastAsia="en-US"/>
    </w:rPr>
  </w:style>
  <w:style w:type="paragraph" w:customStyle="1" w:styleId="Level1">
    <w:name w:val="Level 1"/>
    <w:basedOn w:val="Normal"/>
    <w:rsid w:val="00C031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5DEFF" w:themeFill="accent2" w:themeFillTint="33"/>
      <w:spacing w:before="240" w:after="240"/>
    </w:pPr>
    <w:rPr>
      <w:rFonts w:cstheme="minorHAnsi"/>
      <w:b/>
      <w:sz w:val="36"/>
      <w:szCs w:val="36"/>
    </w:rPr>
  </w:style>
  <w:style w:type="paragraph" w:customStyle="1" w:styleId="Level2">
    <w:name w:val="Level 2"/>
    <w:basedOn w:val="Normal"/>
    <w:rsid w:val="00C031EB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D3EDF9" w:themeFill="accent1" w:themeFillTint="33"/>
      <w:spacing w:before="240" w:line="240" w:lineRule="auto"/>
    </w:pPr>
    <w:rPr>
      <w:b/>
      <w:color w:val="002856" w:themeColor="text1"/>
      <w:sz w:val="28"/>
      <w:szCs w:val="28"/>
    </w:rPr>
  </w:style>
  <w:style w:type="paragraph" w:customStyle="1" w:styleId="Level3">
    <w:name w:val="Level 3"/>
    <w:basedOn w:val="Normal"/>
    <w:rsid w:val="00C031EB"/>
    <w:pPr>
      <w:keepNext/>
      <w:spacing w:before="240" w:line="240" w:lineRule="auto"/>
    </w:pPr>
    <w:rPr>
      <w:b/>
      <w:i/>
      <w:color w:val="0059C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Marketing\Marketing%20Styles%20Template.dotx" TargetMode="External"/></Relationships>
</file>

<file path=word/theme/theme1.xml><?xml version="1.0" encoding="utf-8"?>
<a:theme xmlns:a="http://schemas.openxmlformats.org/drawingml/2006/main" name="HinshawMarketing">
  <a:themeElements>
    <a:clrScheme name="hinshaw">
      <a:dk1>
        <a:srgbClr val="002856"/>
      </a:dk1>
      <a:lt1>
        <a:sysClr val="window" lastClr="FFFFFF"/>
      </a:lt1>
      <a:dk2>
        <a:srgbClr val="A7A9AC"/>
      </a:dk2>
      <a:lt2>
        <a:srgbClr val="E6E7E8"/>
      </a:lt2>
      <a:accent1>
        <a:srgbClr val="27AAE1"/>
      </a:accent1>
      <a:accent2>
        <a:srgbClr val="004F8E"/>
      </a:accent2>
      <a:accent3>
        <a:srgbClr val="773377"/>
      </a:accent3>
      <a:accent4>
        <a:srgbClr val="401B61"/>
      </a:accent4>
      <a:accent5>
        <a:srgbClr val="ABD3CB"/>
      </a:accent5>
      <a:accent6>
        <a:srgbClr val="16555C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79E2B-BB57-4D2E-A5B5-18885941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Marketing Styles Template.dotx</Template>
  <TotalTime>1</TotalTime>
  <Pages>5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Hinshaw &amp; Culbertson LLP</Company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Griesemer, Jorie</dc:creator>
  <cp:lastModifiedBy>Griesemer, Jorie</cp:lastModifiedBy>
  <cp:revision>1</cp:revision>
  <cp:lastPrinted>2020-01-02T17:21:00Z</cp:lastPrinted>
  <dcterms:created xsi:type="dcterms:W3CDTF">2020-07-20T17:12:00Z</dcterms:created>
  <dcterms:modified xsi:type="dcterms:W3CDTF">2020-07-20T17:14:00Z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NumberingScheme">
    <vt:lpwstr>C:\ProgramData\Esquire Innovations\iCreate\iTemplates\SchemesGlobal\Marketing Bullet.docx</vt:lpwstr>
  </property>
</Properties>
</file>